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1B3" w:rsidRDefault="0094093F" w:rsidP="008671B3">
      <w:pPr>
        <w:pStyle w:val="p6"/>
        <w:spacing w:before="0" w:beforeAutospacing="0" w:after="0" w:afterAutospacing="0"/>
        <w:jc w:val="center"/>
        <w:rPr>
          <w:rStyle w:val="ft3"/>
          <w:b/>
          <w:bCs/>
          <w:color w:val="000000"/>
          <w:lang w:val="es-CO"/>
        </w:rPr>
      </w:pPr>
      <w:r>
        <w:rPr>
          <w:rStyle w:val="ft3"/>
          <w:b/>
          <w:bCs/>
          <w:color w:val="000000"/>
          <w:lang w:val="es-CO"/>
        </w:rPr>
        <w:t xml:space="preserve">PROPUESTA </w:t>
      </w:r>
    </w:p>
    <w:p w:rsidR="0094093F" w:rsidRDefault="0094093F" w:rsidP="008671B3">
      <w:pPr>
        <w:pStyle w:val="p6"/>
        <w:spacing w:before="0" w:beforeAutospacing="0" w:after="0" w:afterAutospacing="0"/>
        <w:jc w:val="center"/>
        <w:rPr>
          <w:rStyle w:val="ft3"/>
          <w:b/>
          <w:bCs/>
          <w:color w:val="000000"/>
          <w:lang w:val="es-CO"/>
        </w:rPr>
      </w:pPr>
      <w:r>
        <w:rPr>
          <w:rStyle w:val="ft3"/>
          <w:b/>
          <w:bCs/>
          <w:color w:val="000000"/>
          <w:lang w:val="es-CO"/>
        </w:rPr>
        <w:t>AGENDA DIGITAL PARA AMÉRICA LATINA Y EL CARIBE eLAC2022</w:t>
      </w:r>
    </w:p>
    <w:p w:rsidR="008671B3" w:rsidRDefault="008671B3" w:rsidP="008671B3">
      <w:pPr>
        <w:pStyle w:val="p6"/>
        <w:spacing w:before="0" w:beforeAutospacing="0" w:after="0" w:afterAutospacing="0"/>
        <w:jc w:val="center"/>
        <w:rPr>
          <w:rStyle w:val="ft3"/>
          <w:b/>
          <w:bCs/>
          <w:color w:val="000000"/>
          <w:lang w:val="es-CO"/>
        </w:rPr>
      </w:pPr>
    </w:p>
    <w:p w:rsidR="008671B3" w:rsidRDefault="008671B3" w:rsidP="008671B3">
      <w:pPr>
        <w:pStyle w:val="p6"/>
        <w:spacing w:before="0" w:beforeAutospacing="0" w:after="0" w:afterAutospacing="0"/>
        <w:jc w:val="center"/>
        <w:rPr>
          <w:rStyle w:val="ft3"/>
          <w:b/>
          <w:bCs/>
          <w:color w:val="000000"/>
          <w:lang w:val="es-CO"/>
        </w:rPr>
      </w:pPr>
    </w:p>
    <w:p w:rsidR="0094093F" w:rsidRPr="0094093F" w:rsidRDefault="0094093F" w:rsidP="008671B3">
      <w:pPr>
        <w:pStyle w:val="p6"/>
        <w:spacing w:before="0" w:beforeAutospacing="0" w:after="0" w:afterAutospacing="0"/>
        <w:jc w:val="center"/>
        <w:rPr>
          <w:b/>
          <w:bCs/>
          <w:color w:val="000000"/>
          <w:lang w:val="es-CO"/>
        </w:rPr>
      </w:pPr>
      <w:r w:rsidRPr="0094093F">
        <w:rPr>
          <w:rStyle w:val="ft3"/>
          <w:b/>
          <w:bCs/>
          <w:color w:val="000000"/>
          <w:lang w:val="es-CO"/>
        </w:rPr>
        <w:t>A.</w:t>
      </w:r>
      <w:r w:rsidRPr="0094093F">
        <w:rPr>
          <w:rStyle w:val="ft4"/>
          <w:b/>
          <w:bCs/>
          <w:color w:val="000000"/>
          <w:lang w:val="es-CO"/>
        </w:rPr>
        <w:t xml:space="preserve"> ANTECEDENTES</w:t>
      </w:r>
    </w:p>
    <w:p w:rsidR="00CB2941" w:rsidRPr="00CB2941" w:rsidRDefault="00BB69A5" w:rsidP="00CB2941">
      <w:pPr>
        <w:pStyle w:val="p8"/>
        <w:spacing w:before="240" w:beforeAutospacing="0" w:after="0" w:afterAutospacing="0"/>
        <w:jc w:val="both"/>
        <w:rPr>
          <w:color w:val="000000"/>
          <w:lang w:val="es-CO"/>
        </w:rPr>
      </w:pPr>
      <w:r w:rsidRPr="0083002D">
        <w:rPr>
          <w:lang w:val="es-CO"/>
        </w:rPr>
        <w:t>1</w:t>
      </w:r>
      <w:r w:rsidR="0094093F" w:rsidRPr="0083002D">
        <w:rPr>
          <w:lang w:val="es-CO"/>
        </w:rPr>
        <w:t>.</w:t>
      </w:r>
      <w:r w:rsidR="0094093F" w:rsidRPr="0083002D">
        <w:rPr>
          <w:lang w:val="es-CO"/>
        </w:rPr>
        <w:tab/>
      </w:r>
      <w:r w:rsidR="00CB2941" w:rsidRPr="00CB2941">
        <w:rPr>
          <w:color w:val="000000"/>
          <w:lang w:val="es-CO"/>
        </w:rPr>
        <w:t>La Agenda 2030 reconoce un nuevo cambio de época y un momento de oportunidad, donde la difusión de las tecnologías de la información y las comunicaciones y la interconexión global tienen un gran potencial para acelerar el progreso humano, facilitar el acceso a la información y desarrollar sociedades del conocimiento, reconociendo también que la innovación científica y tecnológica es crítica en áreas centrales para el desarrollo como la salud y la energía. En esta agenda las tecnologías de la información y la comunicación se indican expresamente como instrumentos para mejorar la calidad de la educación, promover el empoderamiento de las mujeres mediante el uso de tecnología, motivar la industrialización inclusiva y sostenible y fomentar la innovación, además de ser parte de los medios para instrumentalizar su implementación</w:t>
      </w:r>
      <w:r w:rsidR="00B10B1E">
        <w:rPr>
          <w:rStyle w:val="FootnoteReference"/>
          <w:color w:val="000000"/>
          <w:lang w:val="es-CO"/>
        </w:rPr>
        <w:footnoteReference w:id="1"/>
      </w:r>
      <w:r w:rsidR="00CB2941" w:rsidRPr="00CB2941">
        <w:rPr>
          <w:color w:val="000000"/>
          <w:lang w:val="es-CO"/>
        </w:rPr>
        <w:t xml:space="preserve">. </w:t>
      </w:r>
    </w:p>
    <w:p w:rsidR="0094093F" w:rsidRDefault="00CB2941" w:rsidP="0094093F">
      <w:pPr>
        <w:pStyle w:val="p8"/>
        <w:spacing w:before="240" w:beforeAutospacing="0" w:after="0" w:afterAutospacing="0"/>
        <w:jc w:val="both"/>
        <w:rPr>
          <w:rStyle w:val="ft7"/>
          <w:color w:val="000000"/>
          <w:lang w:val="es-CO"/>
        </w:rPr>
      </w:pPr>
      <w:r>
        <w:rPr>
          <w:rStyle w:val="ft0"/>
          <w:color w:val="000000"/>
          <w:lang w:val="es-CO"/>
        </w:rPr>
        <w:t>2.</w:t>
      </w:r>
      <w:r>
        <w:rPr>
          <w:rStyle w:val="ft0"/>
          <w:color w:val="000000"/>
          <w:lang w:val="es-CO"/>
        </w:rPr>
        <w:tab/>
      </w:r>
      <w:r w:rsidR="005E009D">
        <w:rPr>
          <w:rStyle w:val="ft0"/>
          <w:color w:val="000000"/>
          <w:lang w:val="es-CO"/>
        </w:rPr>
        <w:t>D</w:t>
      </w:r>
      <w:r w:rsidR="0094093F" w:rsidRPr="0094093F">
        <w:rPr>
          <w:rStyle w:val="ft7"/>
          <w:color w:val="000000"/>
          <w:lang w:val="es-CO"/>
        </w:rPr>
        <w:t xml:space="preserve">urante la </w:t>
      </w:r>
      <w:r w:rsidR="0094093F">
        <w:rPr>
          <w:rStyle w:val="ft7"/>
          <w:color w:val="000000"/>
          <w:lang w:val="es-CO"/>
        </w:rPr>
        <w:t>Sexta</w:t>
      </w:r>
      <w:r w:rsidR="0094093F" w:rsidRPr="0094093F">
        <w:rPr>
          <w:rStyle w:val="ft7"/>
          <w:color w:val="000000"/>
          <w:lang w:val="es-CO"/>
        </w:rPr>
        <w:t xml:space="preserve"> Conferencia Ministerial sobre la Sociedad de la Información de América Latina y el Caribe</w:t>
      </w:r>
      <w:r w:rsidR="00BB69A5">
        <w:rPr>
          <w:rStyle w:val="ft7"/>
          <w:color w:val="000000"/>
          <w:lang w:val="es-CO"/>
        </w:rPr>
        <w:t xml:space="preserve">, celebrada en </w:t>
      </w:r>
      <w:r w:rsidR="005E009D">
        <w:rPr>
          <w:rStyle w:val="ft7"/>
          <w:color w:val="000000"/>
          <w:lang w:val="es-CO"/>
        </w:rPr>
        <w:t>Cartagena de Indias</w:t>
      </w:r>
      <w:r w:rsidR="00BB69A5">
        <w:rPr>
          <w:rStyle w:val="ft7"/>
          <w:color w:val="000000"/>
          <w:lang w:val="es-CO"/>
        </w:rPr>
        <w:t xml:space="preserve"> </w:t>
      </w:r>
      <w:r w:rsidR="005E009D">
        <w:rPr>
          <w:rStyle w:val="ft7"/>
          <w:color w:val="000000"/>
          <w:lang w:val="es-CO"/>
        </w:rPr>
        <w:t>del 18 al 20 de abril</w:t>
      </w:r>
      <w:r w:rsidR="00BB69A5">
        <w:rPr>
          <w:rStyle w:val="ft7"/>
          <w:color w:val="000000"/>
          <w:lang w:val="es-CO"/>
        </w:rPr>
        <w:t xml:space="preserve"> </w:t>
      </w:r>
      <w:r w:rsidR="005E009D">
        <w:rPr>
          <w:rStyle w:val="ft7"/>
          <w:color w:val="000000"/>
          <w:lang w:val="es-CO"/>
        </w:rPr>
        <w:t xml:space="preserve">de 2018, </w:t>
      </w:r>
      <w:r w:rsidR="0094093F" w:rsidRPr="0094093F">
        <w:rPr>
          <w:rStyle w:val="ft7"/>
          <w:color w:val="000000"/>
          <w:lang w:val="es-CO"/>
        </w:rPr>
        <w:t>se aprobó la Agenda Digital para América Latina y el Caribe (eLAC20</w:t>
      </w:r>
      <w:r w:rsidR="0094093F">
        <w:rPr>
          <w:rStyle w:val="ft7"/>
          <w:color w:val="000000"/>
          <w:lang w:val="es-CO"/>
        </w:rPr>
        <w:t>20</w:t>
      </w:r>
      <w:r w:rsidR="0094093F" w:rsidRPr="0094093F">
        <w:rPr>
          <w:rStyle w:val="ft7"/>
          <w:color w:val="000000"/>
          <w:lang w:val="es-CO"/>
        </w:rPr>
        <w:t>) y se acordó celebrar la S</w:t>
      </w:r>
      <w:r w:rsidR="0094093F">
        <w:rPr>
          <w:rStyle w:val="ft7"/>
          <w:color w:val="000000"/>
          <w:lang w:val="es-CO"/>
        </w:rPr>
        <w:t xml:space="preserve">éptima </w:t>
      </w:r>
      <w:r w:rsidR="0094093F" w:rsidRPr="0094093F">
        <w:rPr>
          <w:rStyle w:val="ft7"/>
          <w:color w:val="000000"/>
          <w:lang w:val="es-CO"/>
        </w:rPr>
        <w:t xml:space="preserve">Conferencia Ministerial sobre la Sociedad de la Información en América Latina y el Caribe </w:t>
      </w:r>
      <w:r w:rsidR="00BB69A5">
        <w:rPr>
          <w:rStyle w:val="ft7"/>
          <w:color w:val="000000"/>
          <w:lang w:val="es-CO"/>
        </w:rPr>
        <w:t>en Brasil</w:t>
      </w:r>
      <w:r w:rsidR="0094093F" w:rsidRPr="0094093F">
        <w:rPr>
          <w:rStyle w:val="ft7"/>
          <w:color w:val="000000"/>
          <w:lang w:val="es-CO"/>
        </w:rPr>
        <w:t xml:space="preserve"> en 20</w:t>
      </w:r>
      <w:r w:rsidR="00BB69A5">
        <w:rPr>
          <w:rStyle w:val="ft7"/>
          <w:color w:val="000000"/>
          <w:lang w:val="es-CO"/>
        </w:rPr>
        <w:t>20</w:t>
      </w:r>
      <w:r w:rsidR="0094093F" w:rsidRPr="0094093F">
        <w:rPr>
          <w:rStyle w:val="ft7"/>
          <w:color w:val="000000"/>
          <w:lang w:val="es-CO"/>
        </w:rPr>
        <w:t>, con el propósito de dar continuidad a este espacio de cooperación, renovando sus compromisos con una visión más allá de 20</w:t>
      </w:r>
      <w:r w:rsidR="00BB69A5">
        <w:rPr>
          <w:rStyle w:val="ft7"/>
          <w:color w:val="000000"/>
          <w:lang w:val="es-CO"/>
        </w:rPr>
        <w:t>20</w:t>
      </w:r>
      <w:r w:rsidR="0094093F" w:rsidRPr="0094093F">
        <w:rPr>
          <w:rStyle w:val="ft7"/>
          <w:color w:val="000000"/>
          <w:lang w:val="es-CO"/>
        </w:rPr>
        <w:t>.</w:t>
      </w:r>
    </w:p>
    <w:p w:rsidR="0062622C" w:rsidRDefault="0062622C" w:rsidP="0094093F">
      <w:pPr>
        <w:pStyle w:val="p8"/>
        <w:spacing w:before="240" w:beforeAutospacing="0" w:after="0" w:afterAutospacing="0"/>
        <w:jc w:val="both"/>
        <w:rPr>
          <w:rStyle w:val="ft0"/>
          <w:rFonts w:eastAsiaTheme="minorEastAsia"/>
          <w:lang w:val="es-CO"/>
        </w:rPr>
      </w:pPr>
      <w:r>
        <w:rPr>
          <w:rStyle w:val="ft0"/>
          <w:color w:val="000000"/>
          <w:lang w:val="es-CO"/>
        </w:rPr>
        <w:t>3.</w:t>
      </w:r>
      <w:r>
        <w:rPr>
          <w:rStyle w:val="ft0"/>
          <w:color w:val="000000"/>
          <w:lang w:val="es-CO"/>
        </w:rPr>
        <w:tab/>
      </w:r>
      <w:r w:rsidRPr="0062622C">
        <w:rPr>
          <w:rStyle w:val="ft0"/>
          <w:color w:val="000000"/>
          <w:lang w:val="es-CO"/>
        </w:rPr>
        <w:t>La Agenda Digital para América Latina y el Caribe</w:t>
      </w:r>
      <w:r w:rsidRPr="0062622C">
        <w:rPr>
          <w:rStyle w:val="ft0"/>
          <w:lang w:val="es-CO"/>
        </w:rPr>
        <w:t xml:space="preserve"> tiene el objetivo de ser un instrumento catalizador de los esfuerzos de cooperación regional en materia digital y un</w:t>
      </w:r>
      <w:r w:rsidRPr="0062622C">
        <w:rPr>
          <w:rStyle w:val="ft0"/>
          <w:rFonts w:eastAsiaTheme="minorEastAsia"/>
          <w:lang w:val="es-CO"/>
        </w:rPr>
        <w:t xml:space="preserve"> mecanismo para promover </w:t>
      </w:r>
      <w:r w:rsidRPr="0062622C">
        <w:rPr>
          <w:rStyle w:val="ft0"/>
          <w:lang w:val="es-CO"/>
        </w:rPr>
        <w:t xml:space="preserve">el diseño de políticas, la investigación, </w:t>
      </w:r>
      <w:r w:rsidRPr="0062622C">
        <w:rPr>
          <w:rStyle w:val="ft0"/>
          <w:rFonts w:eastAsia="Boston Bold"/>
          <w:lang w:val="es-CO"/>
        </w:rPr>
        <w:t xml:space="preserve">el desarrollo de capacidades y el diálogo político </w:t>
      </w:r>
      <w:r w:rsidRPr="0062622C">
        <w:rPr>
          <w:rStyle w:val="ft0"/>
          <w:rFonts w:eastAsiaTheme="minorEastAsia"/>
          <w:lang w:val="es-CO"/>
        </w:rPr>
        <w:t xml:space="preserve">en torno a los desafíos y oportunidades </w:t>
      </w:r>
      <w:r w:rsidRPr="0062622C">
        <w:rPr>
          <w:rStyle w:val="ft0"/>
          <w:lang w:val="es-CO"/>
        </w:rPr>
        <w:t xml:space="preserve">que presenta la transformación digital </w:t>
      </w:r>
      <w:r w:rsidR="00B10B1E">
        <w:rPr>
          <w:rStyle w:val="ft0"/>
          <w:lang w:val="es-CO"/>
        </w:rPr>
        <w:t>e</w:t>
      </w:r>
      <w:r w:rsidR="003B5A53">
        <w:rPr>
          <w:rStyle w:val="ft0"/>
          <w:lang w:val="es-CO"/>
        </w:rPr>
        <w:t>n</w:t>
      </w:r>
      <w:r w:rsidRPr="0062622C">
        <w:rPr>
          <w:rStyle w:val="ft0"/>
          <w:rFonts w:eastAsiaTheme="minorEastAsia"/>
          <w:lang w:val="es-CO"/>
        </w:rPr>
        <w:t xml:space="preserve"> la sociedad </w:t>
      </w:r>
      <w:r w:rsidRPr="0062622C">
        <w:rPr>
          <w:rStyle w:val="ft0"/>
          <w:lang w:val="es-CO"/>
        </w:rPr>
        <w:t>y la economía</w:t>
      </w:r>
      <w:r w:rsidRPr="0062622C">
        <w:rPr>
          <w:rStyle w:val="ft0"/>
          <w:rFonts w:eastAsiaTheme="minorEastAsia"/>
          <w:lang w:val="es-CO"/>
        </w:rPr>
        <w:t>.</w:t>
      </w:r>
    </w:p>
    <w:p w:rsidR="000A50A6" w:rsidRPr="000A50A6" w:rsidRDefault="000A50A6" w:rsidP="000A50A6">
      <w:pPr>
        <w:pStyle w:val="p8"/>
        <w:spacing w:before="240" w:beforeAutospacing="0" w:after="0" w:afterAutospacing="0"/>
        <w:jc w:val="both"/>
        <w:rPr>
          <w:rStyle w:val="ft0"/>
          <w:color w:val="000000"/>
          <w:lang w:val="es-CO"/>
        </w:rPr>
      </w:pPr>
      <w:r>
        <w:rPr>
          <w:rStyle w:val="ft0"/>
          <w:color w:val="000000"/>
          <w:lang w:val="es-CO"/>
        </w:rPr>
        <w:t>4.</w:t>
      </w:r>
      <w:r>
        <w:rPr>
          <w:rStyle w:val="ft0"/>
          <w:color w:val="000000"/>
          <w:lang w:val="es-CO"/>
        </w:rPr>
        <w:tab/>
      </w:r>
      <w:r w:rsidRPr="000A50A6">
        <w:rPr>
          <w:rStyle w:val="ft0"/>
          <w:color w:val="000000"/>
          <w:lang w:val="es-CO"/>
        </w:rPr>
        <w:t>El Mecanismo de Seguimiento de la Agenda Digital para América Latina y el Caribe (eLAC2020) cuenta con tres niveles de coordinación y cooperación: la Conferencia Ministerial de Seguimiento, la Mesa Directiva y los Puntos Focales. Acompañan al Mecanismo de Seguimiento observadores que representan a la sociedad civil, el sector privado y la comunidad técnica de Internet de la región.</w:t>
      </w:r>
      <w:r>
        <w:rPr>
          <w:rStyle w:val="ft0"/>
          <w:color w:val="000000"/>
          <w:lang w:val="es-CO"/>
        </w:rPr>
        <w:t xml:space="preserve"> La CEPAL ejerce las funciones de Secretaría técnica del proceso.</w:t>
      </w:r>
    </w:p>
    <w:p w:rsidR="0094093F" w:rsidRPr="00614B34" w:rsidRDefault="000A50A6" w:rsidP="00833834">
      <w:pPr>
        <w:pStyle w:val="p8"/>
        <w:spacing w:before="240" w:beforeAutospacing="0" w:after="0" w:afterAutospacing="0"/>
        <w:jc w:val="both"/>
        <w:rPr>
          <w:rStyle w:val="ft13"/>
          <w:color w:val="000000"/>
          <w:lang w:val="es-CL"/>
        </w:rPr>
      </w:pPr>
      <w:r w:rsidRPr="00A65D59">
        <w:rPr>
          <w:color w:val="000000"/>
          <w:lang w:val="es-CL"/>
        </w:rPr>
        <w:t>5</w:t>
      </w:r>
      <w:r w:rsidR="005E009D" w:rsidRPr="00A65D59">
        <w:rPr>
          <w:color w:val="000000"/>
          <w:lang w:val="es-CL"/>
        </w:rPr>
        <w:t xml:space="preserve">. </w:t>
      </w:r>
      <w:r w:rsidR="00833834">
        <w:rPr>
          <w:color w:val="000000"/>
          <w:lang w:val="es-CO"/>
        </w:rPr>
        <w:tab/>
      </w:r>
      <w:r w:rsidR="005E009D">
        <w:rPr>
          <w:color w:val="000000"/>
          <w:lang w:val="es-CO"/>
        </w:rPr>
        <w:t xml:space="preserve">Para la elaboración de esta propuesta se realizó una encuesta a los </w:t>
      </w:r>
      <w:r>
        <w:rPr>
          <w:color w:val="000000"/>
          <w:lang w:val="es-CO"/>
        </w:rPr>
        <w:t>P</w:t>
      </w:r>
      <w:r w:rsidR="005E009D">
        <w:rPr>
          <w:color w:val="000000"/>
          <w:lang w:val="es-CO"/>
        </w:rPr>
        <w:t xml:space="preserve">untos </w:t>
      </w:r>
      <w:r>
        <w:rPr>
          <w:color w:val="000000"/>
          <w:lang w:val="es-CO"/>
        </w:rPr>
        <w:t>F</w:t>
      </w:r>
      <w:r w:rsidR="005E009D">
        <w:rPr>
          <w:color w:val="000000"/>
          <w:lang w:val="es-CO"/>
        </w:rPr>
        <w:t xml:space="preserve">ocales y </w:t>
      </w:r>
      <w:r w:rsidR="000B1DA5">
        <w:rPr>
          <w:color w:val="000000"/>
          <w:lang w:val="es-CO"/>
        </w:rPr>
        <w:t>o</w:t>
      </w:r>
      <w:r w:rsidR="005E009D">
        <w:rPr>
          <w:color w:val="000000"/>
          <w:lang w:val="es-CO"/>
        </w:rPr>
        <w:t>bservadores de eLAC2020, además de una revisión de fuentes bibliográficas</w:t>
      </w:r>
      <w:r w:rsidR="00833834">
        <w:rPr>
          <w:color w:val="000000"/>
          <w:lang w:val="es-CO"/>
        </w:rPr>
        <w:t xml:space="preserve">. </w:t>
      </w:r>
      <w:r w:rsidR="005E009D">
        <w:rPr>
          <w:rStyle w:val="ft12"/>
          <w:color w:val="000000"/>
          <w:lang w:val="es-CO"/>
        </w:rPr>
        <w:t xml:space="preserve">La siguiente propuesta tiene el objetivo de dar continuidad acuerdos </w:t>
      </w:r>
      <w:r w:rsidR="00BF08ED">
        <w:rPr>
          <w:rStyle w:val="ft12"/>
          <w:color w:val="000000"/>
          <w:lang w:val="es-CO"/>
        </w:rPr>
        <w:t>antes mencionados</w:t>
      </w:r>
      <w:r w:rsidR="00BF08ED">
        <w:rPr>
          <w:rStyle w:val="ft8"/>
          <w:color w:val="000000"/>
          <w:lang w:val="es-CO"/>
        </w:rPr>
        <w:t xml:space="preserve"> </w:t>
      </w:r>
      <w:r w:rsidR="005E009D">
        <w:rPr>
          <w:rStyle w:val="ft8"/>
          <w:color w:val="000000"/>
          <w:lang w:val="es-CO"/>
        </w:rPr>
        <w:t>y proporcionar los insumos para el diálogo político</w:t>
      </w:r>
      <w:r w:rsidR="0094093F" w:rsidRPr="0094093F">
        <w:rPr>
          <w:rStyle w:val="ft8"/>
          <w:color w:val="000000"/>
          <w:lang w:val="es-CO"/>
        </w:rPr>
        <w:t xml:space="preserve"> </w:t>
      </w:r>
      <w:r w:rsidR="005E009D">
        <w:rPr>
          <w:rStyle w:val="ft8"/>
          <w:color w:val="000000"/>
          <w:lang w:val="es-CO"/>
        </w:rPr>
        <w:t xml:space="preserve">que tendrá lugar </w:t>
      </w:r>
      <w:r w:rsidR="00833834">
        <w:rPr>
          <w:rStyle w:val="ft8"/>
          <w:color w:val="000000"/>
          <w:lang w:val="es-CO"/>
        </w:rPr>
        <w:t>en</w:t>
      </w:r>
      <w:r w:rsidR="005E009D">
        <w:rPr>
          <w:rStyle w:val="ft8"/>
          <w:color w:val="000000"/>
          <w:lang w:val="es-CO"/>
        </w:rPr>
        <w:t xml:space="preserve"> el marco de la </w:t>
      </w:r>
      <w:r w:rsidR="005E009D" w:rsidRPr="0094093F">
        <w:rPr>
          <w:rStyle w:val="ft8"/>
          <w:color w:val="000000"/>
          <w:lang w:val="es-CO"/>
        </w:rPr>
        <w:t>S</w:t>
      </w:r>
      <w:r w:rsidR="005E009D">
        <w:rPr>
          <w:rStyle w:val="ft8"/>
          <w:color w:val="000000"/>
          <w:lang w:val="es-CO"/>
        </w:rPr>
        <w:t>éptima</w:t>
      </w:r>
      <w:r w:rsidR="005E009D" w:rsidRPr="0094093F">
        <w:rPr>
          <w:rStyle w:val="ft8"/>
          <w:color w:val="000000"/>
          <w:lang w:val="es-CO"/>
        </w:rPr>
        <w:t xml:space="preserve"> Conferencia Ministerial sobre la Sociedad de la Información en América Latina y el Caribe</w:t>
      </w:r>
      <w:r w:rsidR="0094093F" w:rsidRPr="0094093F">
        <w:rPr>
          <w:rStyle w:val="ft8"/>
          <w:color w:val="000000"/>
          <w:lang w:val="es-CO"/>
        </w:rPr>
        <w:t xml:space="preserve">. A continuación, se presenta la </w:t>
      </w:r>
      <w:r w:rsidR="005E009D">
        <w:rPr>
          <w:rStyle w:val="ft8"/>
          <w:color w:val="000000"/>
          <w:lang w:val="es-CO"/>
        </w:rPr>
        <w:t>A</w:t>
      </w:r>
      <w:r w:rsidR="0094093F" w:rsidRPr="0094093F">
        <w:rPr>
          <w:rStyle w:val="ft8"/>
          <w:color w:val="000000"/>
          <w:lang w:val="es-CO"/>
        </w:rPr>
        <w:t>genda digital para América Latina y el Caribe (eLAC202</w:t>
      </w:r>
      <w:r w:rsidR="005E009D">
        <w:rPr>
          <w:rStyle w:val="ft8"/>
          <w:color w:val="000000"/>
          <w:lang w:val="es-CO"/>
        </w:rPr>
        <w:t>2</w:t>
      </w:r>
      <w:r w:rsidR="0094093F" w:rsidRPr="0094093F">
        <w:rPr>
          <w:rStyle w:val="ft8"/>
          <w:color w:val="000000"/>
          <w:lang w:val="es-CO"/>
        </w:rPr>
        <w:t xml:space="preserve">), que incluye </w:t>
      </w:r>
      <w:r w:rsidR="0062622C">
        <w:rPr>
          <w:rStyle w:val="ft8"/>
          <w:color w:val="000000"/>
          <w:lang w:val="es-CO"/>
        </w:rPr>
        <w:t>8</w:t>
      </w:r>
      <w:r w:rsidR="0094093F" w:rsidRPr="0094093F">
        <w:rPr>
          <w:rStyle w:val="ft8"/>
          <w:color w:val="000000"/>
          <w:lang w:val="es-CO"/>
        </w:rPr>
        <w:t xml:space="preserve"> áreas de acción y</w:t>
      </w:r>
      <w:r w:rsidR="0094093F">
        <w:rPr>
          <w:rStyle w:val="ft8"/>
          <w:color w:val="000000"/>
          <w:lang w:val="es-CO"/>
        </w:rPr>
        <w:t xml:space="preserve"> </w:t>
      </w:r>
      <w:r w:rsidR="0062622C">
        <w:rPr>
          <w:rStyle w:val="ft0"/>
          <w:color w:val="000000"/>
          <w:lang w:val="es-CO"/>
        </w:rPr>
        <w:t>2</w:t>
      </w:r>
      <w:r w:rsidR="00A65D59">
        <w:rPr>
          <w:rStyle w:val="ft0"/>
          <w:color w:val="000000"/>
          <w:lang w:val="es-CO"/>
        </w:rPr>
        <w:t>9</w:t>
      </w:r>
      <w:r w:rsidR="0094093F">
        <w:rPr>
          <w:rStyle w:val="ft0"/>
          <w:color w:val="000000"/>
          <w:lang w:val="es-CO"/>
        </w:rPr>
        <w:t xml:space="preserve"> </w:t>
      </w:r>
      <w:r w:rsidR="0094093F" w:rsidRPr="0094093F">
        <w:rPr>
          <w:rStyle w:val="ft13"/>
          <w:color w:val="000000"/>
          <w:lang w:val="es-CO"/>
        </w:rPr>
        <w:t>objetivos</w:t>
      </w:r>
      <w:r w:rsidR="0094093F" w:rsidRPr="00614B34">
        <w:rPr>
          <w:rStyle w:val="ft13"/>
          <w:color w:val="000000"/>
          <w:lang w:val="es-CL"/>
        </w:rPr>
        <w:t>.</w:t>
      </w:r>
    </w:p>
    <w:p w:rsidR="0083002D" w:rsidRPr="00614B34" w:rsidRDefault="0083002D" w:rsidP="00833834">
      <w:pPr>
        <w:pStyle w:val="p8"/>
        <w:spacing w:before="240" w:beforeAutospacing="0" w:after="0" w:afterAutospacing="0"/>
        <w:jc w:val="both"/>
        <w:rPr>
          <w:rStyle w:val="ft13"/>
          <w:color w:val="000000"/>
          <w:lang w:val="es-CL"/>
        </w:rPr>
      </w:pPr>
    </w:p>
    <w:p w:rsidR="0094093F" w:rsidRPr="0094093F" w:rsidRDefault="0094093F" w:rsidP="0094093F">
      <w:pPr>
        <w:pStyle w:val="p15"/>
        <w:spacing w:before="495" w:beforeAutospacing="0" w:after="0" w:afterAutospacing="0"/>
        <w:jc w:val="center"/>
        <w:rPr>
          <w:b/>
          <w:bCs/>
          <w:color w:val="000000"/>
          <w:lang w:val="es-CO"/>
        </w:rPr>
      </w:pPr>
      <w:r w:rsidRPr="0094093F">
        <w:rPr>
          <w:rStyle w:val="ft3"/>
          <w:b/>
          <w:bCs/>
          <w:color w:val="000000"/>
          <w:lang w:val="es-CO"/>
        </w:rPr>
        <w:lastRenderedPageBreak/>
        <w:t>B.</w:t>
      </w:r>
      <w:r w:rsidRPr="0094093F">
        <w:rPr>
          <w:rStyle w:val="ft4"/>
          <w:b/>
          <w:bCs/>
          <w:color w:val="000000"/>
          <w:lang w:val="es-CO"/>
        </w:rPr>
        <w:t xml:space="preserve"> ÁREAS DE ACCIÓN Y OBJETIVOS</w:t>
      </w:r>
    </w:p>
    <w:p w:rsidR="0094093F" w:rsidRPr="0094093F" w:rsidRDefault="0094093F" w:rsidP="0088059B">
      <w:pPr>
        <w:pStyle w:val="p16"/>
        <w:tabs>
          <w:tab w:val="left" w:pos="993"/>
        </w:tabs>
        <w:spacing w:before="510" w:beforeAutospacing="0" w:after="0" w:afterAutospacing="0"/>
        <w:jc w:val="center"/>
        <w:rPr>
          <w:b/>
          <w:bCs/>
          <w:color w:val="000000"/>
          <w:lang w:val="es-CO"/>
        </w:rPr>
      </w:pPr>
      <w:r w:rsidRPr="0094093F">
        <w:rPr>
          <w:b/>
          <w:bCs/>
          <w:color w:val="000000"/>
          <w:lang w:val="es-CO"/>
        </w:rPr>
        <w:t>1. Infraestructura digital</w:t>
      </w:r>
    </w:p>
    <w:p w:rsidR="00B20789" w:rsidRDefault="0094093F" w:rsidP="0088059B">
      <w:pPr>
        <w:pStyle w:val="p17"/>
        <w:tabs>
          <w:tab w:val="left" w:pos="1276"/>
          <w:tab w:val="left" w:pos="1560"/>
        </w:tabs>
        <w:spacing w:before="255" w:beforeAutospacing="0" w:after="0" w:afterAutospacing="0"/>
        <w:ind w:left="1560" w:hanging="1560"/>
        <w:jc w:val="both"/>
        <w:rPr>
          <w:color w:val="000000"/>
          <w:lang w:val="es-CO"/>
        </w:rPr>
      </w:pPr>
      <w:r w:rsidRPr="00CC250E">
        <w:rPr>
          <w:rStyle w:val="ft2"/>
          <w:b/>
          <w:lang w:val="es-CO"/>
        </w:rPr>
        <w:t>Objetivo 1</w:t>
      </w:r>
      <w:r w:rsidRPr="00B20789">
        <w:rPr>
          <w:rStyle w:val="ft2"/>
          <w:b/>
          <w:lang w:val="es-CO"/>
        </w:rPr>
        <w:t>:</w:t>
      </w:r>
      <w:r w:rsidRPr="0094093F">
        <w:rPr>
          <w:color w:val="000000"/>
          <w:lang w:val="es-CO"/>
        </w:rPr>
        <w:t xml:space="preserve"> </w:t>
      </w:r>
      <w:r w:rsidR="0088059B">
        <w:rPr>
          <w:color w:val="000000"/>
          <w:lang w:val="es-CO"/>
        </w:rPr>
        <w:tab/>
      </w:r>
      <w:r w:rsidR="0088059B">
        <w:rPr>
          <w:color w:val="000000"/>
          <w:lang w:val="es-CO"/>
        </w:rPr>
        <w:tab/>
      </w:r>
      <w:r w:rsidR="00B20789">
        <w:rPr>
          <w:color w:val="000000"/>
          <w:lang w:val="es-CO"/>
        </w:rPr>
        <w:t xml:space="preserve">Promover el despliegue de la banda ancha y </w:t>
      </w:r>
      <w:r w:rsidR="00880E91">
        <w:rPr>
          <w:color w:val="000000"/>
          <w:lang w:val="es-CO"/>
        </w:rPr>
        <w:t xml:space="preserve">las </w:t>
      </w:r>
      <w:r w:rsidR="00B20789">
        <w:rPr>
          <w:color w:val="000000"/>
          <w:lang w:val="es-CO"/>
        </w:rPr>
        <w:t>redes d</w:t>
      </w:r>
      <w:r w:rsidR="00B20789" w:rsidRPr="0094093F">
        <w:rPr>
          <w:color w:val="000000"/>
          <w:lang w:val="es-CO"/>
        </w:rPr>
        <w:t>e alta capacidad</w:t>
      </w:r>
      <w:r w:rsidR="00B20789">
        <w:rPr>
          <w:color w:val="000000"/>
          <w:lang w:val="es-CO"/>
        </w:rPr>
        <w:t xml:space="preserve">, mediante la promoción de </w:t>
      </w:r>
      <w:r w:rsidR="00B20789" w:rsidRPr="00B20789">
        <w:rPr>
          <w:color w:val="000000"/>
          <w:lang w:val="es-CO"/>
        </w:rPr>
        <w:t>la competencia</w:t>
      </w:r>
      <w:r w:rsidR="00880E91">
        <w:rPr>
          <w:color w:val="000000"/>
          <w:lang w:val="es-CO"/>
        </w:rPr>
        <w:t xml:space="preserve"> y establecimiento de un entorno favorable a </w:t>
      </w:r>
      <w:r w:rsidR="00B20789" w:rsidRPr="00B20789">
        <w:rPr>
          <w:color w:val="000000"/>
          <w:lang w:val="es-CO"/>
        </w:rPr>
        <w:t>la inversión.</w:t>
      </w:r>
    </w:p>
    <w:p w:rsidR="00B20789" w:rsidRPr="00DF0BBE" w:rsidRDefault="00DF0BBE" w:rsidP="0088059B">
      <w:pPr>
        <w:pStyle w:val="p17"/>
        <w:tabs>
          <w:tab w:val="left" w:pos="1276"/>
          <w:tab w:val="left" w:pos="1560"/>
        </w:tabs>
        <w:spacing w:before="255" w:beforeAutospacing="0" w:after="0" w:afterAutospacing="0"/>
        <w:ind w:left="1560" w:hanging="1560"/>
        <w:jc w:val="both"/>
        <w:rPr>
          <w:rStyle w:val="ft2"/>
          <w:lang w:val="es-CO"/>
        </w:rPr>
      </w:pPr>
      <w:r>
        <w:rPr>
          <w:rStyle w:val="ft2"/>
          <w:b/>
          <w:lang w:val="es-CO"/>
        </w:rPr>
        <w:t>Objetivo 2:</w:t>
      </w:r>
      <w:r>
        <w:rPr>
          <w:rStyle w:val="ft2"/>
          <w:b/>
          <w:lang w:val="es-CO"/>
        </w:rPr>
        <w:tab/>
      </w:r>
      <w:r>
        <w:rPr>
          <w:rStyle w:val="ft2"/>
          <w:b/>
          <w:lang w:val="es-CO"/>
        </w:rPr>
        <w:tab/>
      </w:r>
      <w:r w:rsidR="00B20789" w:rsidRPr="00DF0BBE">
        <w:rPr>
          <w:rStyle w:val="ft2"/>
          <w:lang w:val="es-CO"/>
        </w:rPr>
        <w:t xml:space="preserve">Impulsar la conectividad en condiciones asequibles y de calidad en las zonas remotas, áreas rurales y semiurbanas, </w:t>
      </w:r>
      <w:r w:rsidRPr="00DF0BBE">
        <w:rPr>
          <w:rStyle w:val="ft2"/>
          <w:lang w:val="es-CO"/>
        </w:rPr>
        <w:t xml:space="preserve">estimulando </w:t>
      </w:r>
      <w:r w:rsidR="00B20789" w:rsidRPr="00DF0BBE">
        <w:rPr>
          <w:rStyle w:val="ft2"/>
          <w:lang w:val="es-CO"/>
        </w:rPr>
        <w:t xml:space="preserve">el desarrollo de las redes comunitarias y </w:t>
      </w:r>
      <w:r w:rsidR="00880E91">
        <w:rPr>
          <w:rStyle w:val="ft2"/>
          <w:lang w:val="es-CO"/>
        </w:rPr>
        <w:t xml:space="preserve">los </w:t>
      </w:r>
      <w:r w:rsidR="00B20789" w:rsidRPr="00DF0BBE">
        <w:rPr>
          <w:rStyle w:val="ft2"/>
          <w:lang w:val="es-CO"/>
        </w:rPr>
        <w:t>modelos alternativos de inversión</w:t>
      </w:r>
      <w:r>
        <w:rPr>
          <w:rStyle w:val="ft2"/>
          <w:lang w:val="es-CO"/>
        </w:rPr>
        <w:t xml:space="preserve"> y sustentabilidad</w:t>
      </w:r>
      <w:r w:rsidRPr="00DF0BBE">
        <w:rPr>
          <w:rStyle w:val="ft2"/>
          <w:lang w:val="es-CO"/>
        </w:rPr>
        <w:t xml:space="preserve">. </w:t>
      </w:r>
    </w:p>
    <w:p w:rsidR="0094093F" w:rsidRDefault="0094093F" w:rsidP="0088059B">
      <w:pPr>
        <w:pStyle w:val="p17"/>
        <w:tabs>
          <w:tab w:val="left" w:pos="1276"/>
          <w:tab w:val="left" w:pos="1560"/>
        </w:tabs>
        <w:spacing w:before="255" w:beforeAutospacing="0" w:after="0" w:afterAutospacing="0"/>
        <w:ind w:left="1560" w:hanging="1560"/>
        <w:jc w:val="both"/>
        <w:rPr>
          <w:color w:val="000000"/>
          <w:lang w:val="es-CO"/>
        </w:rPr>
      </w:pPr>
      <w:r w:rsidRPr="0088059B">
        <w:rPr>
          <w:rStyle w:val="ft2"/>
          <w:b/>
          <w:lang w:val="es-CO"/>
        </w:rPr>
        <w:t xml:space="preserve">Objetivo </w:t>
      </w:r>
      <w:r w:rsidR="00DF0BBE">
        <w:rPr>
          <w:rStyle w:val="ft2"/>
          <w:b/>
          <w:lang w:val="es-CO"/>
        </w:rPr>
        <w:t>3</w:t>
      </w:r>
      <w:r w:rsidRPr="0088059B">
        <w:rPr>
          <w:rStyle w:val="ft2"/>
          <w:b/>
          <w:bCs/>
          <w:lang w:val="es-CO"/>
        </w:rPr>
        <w:t xml:space="preserve">: </w:t>
      </w:r>
      <w:r w:rsidR="0088059B" w:rsidRPr="0088059B">
        <w:rPr>
          <w:rStyle w:val="ft2"/>
          <w:b/>
          <w:bCs/>
          <w:lang w:val="es-CO"/>
        </w:rPr>
        <w:tab/>
      </w:r>
      <w:r w:rsidR="0088059B">
        <w:rPr>
          <w:rStyle w:val="ft2"/>
          <w:b/>
          <w:bCs/>
          <w:lang w:val="es-CO"/>
        </w:rPr>
        <w:tab/>
      </w:r>
      <w:r w:rsidRPr="0088059B">
        <w:rPr>
          <w:color w:val="000000"/>
          <w:lang w:val="es-CO"/>
        </w:rPr>
        <w:t>Impulsar políticas e incentivos para el despliegue y la operación de infraestructura y las tecnologías necesarias para el desarrollo de Internet, especialmente puntos de intercambio de Internet (IXP) y los protocolos IPv6.</w:t>
      </w:r>
    </w:p>
    <w:p w:rsidR="0052493E" w:rsidRDefault="00E4356D" w:rsidP="0052493E">
      <w:pPr>
        <w:pStyle w:val="p17"/>
        <w:tabs>
          <w:tab w:val="left" w:pos="1276"/>
          <w:tab w:val="left" w:pos="1560"/>
        </w:tabs>
        <w:spacing w:before="255" w:after="0"/>
        <w:ind w:left="1560" w:hanging="1560"/>
        <w:jc w:val="both"/>
        <w:rPr>
          <w:color w:val="000000"/>
          <w:lang w:val="es-CO"/>
        </w:rPr>
      </w:pPr>
      <w:r w:rsidRPr="0088059B">
        <w:rPr>
          <w:rStyle w:val="ft2"/>
          <w:b/>
          <w:lang w:val="es-CO"/>
        </w:rPr>
        <w:t xml:space="preserve">Objetivo </w:t>
      </w:r>
      <w:r>
        <w:rPr>
          <w:rStyle w:val="ft2"/>
          <w:b/>
          <w:lang w:val="es-CO"/>
        </w:rPr>
        <w:t>4</w:t>
      </w:r>
      <w:r w:rsidRPr="0088059B">
        <w:rPr>
          <w:rStyle w:val="ft2"/>
          <w:b/>
          <w:bCs/>
          <w:lang w:val="es-CO"/>
        </w:rPr>
        <w:t xml:space="preserve">: </w:t>
      </w:r>
      <w:r w:rsidRPr="0088059B">
        <w:rPr>
          <w:rStyle w:val="ft2"/>
          <w:b/>
          <w:bCs/>
          <w:lang w:val="es-CO"/>
        </w:rPr>
        <w:tab/>
      </w:r>
      <w:r>
        <w:rPr>
          <w:rStyle w:val="ft2"/>
          <w:b/>
          <w:bCs/>
          <w:lang w:val="es-CO"/>
        </w:rPr>
        <w:t xml:space="preserve"> </w:t>
      </w:r>
      <w:r>
        <w:rPr>
          <w:rStyle w:val="ft2"/>
          <w:b/>
          <w:bCs/>
          <w:lang w:val="es-CO"/>
        </w:rPr>
        <w:tab/>
      </w:r>
      <w:r>
        <w:rPr>
          <w:rStyle w:val="ft2"/>
          <w:bCs/>
          <w:lang w:val="es-CO"/>
        </w:rPr>
        <w:t xml:space="preserve">Impulsar </w:t>
      </w:r>
      <w:r>
        <w:rPr>
          <w:color w:val="000000"/>
          <w:lang w:val="es-CO"/>
        </w:rPr>
        <w:t>el</w:t>
      </w:r>
      <w:r w:rsidRPr="00E4356D">
        <w:rPr>
          <w:color w:val="000000"/>
          <w:lang w:val="es-CO"/>
        </w:rPr>
        <w:t xml:space="preserve"> despliegue coordinado </w:t>
      </w:r>
      <w:r>
        <w:rPr>
          <w:color w:val="000000"/>
          <w:lang w:val="es-CO"/>
        </w:rPr>
        <w:t xml:space="preserve">y armonizado </w:t>
      </w:r>
      <w:r w:rsidRPr="00E4356D">
        <w:rPr>
          <w:color w:val="000000"/>
          <w:lang w:val="es-CO"/>
        </w:rPr>
        <w:t xml:space="preserve">de 5G en todos los </w:t>
      </w:r>
      <w:r>
        <w:rPr>
          <w:color w:val="000000"/>
          <w:lang w:val="es-CO"/>
        </w:rPr>
        <w:t xml:space="preserve">países de la región, facilitando la provisión de espectro bajo los estándares y recomendaciones internacionales. </w:t>
      </w:r>
    </w:p>
    <w:p w:rsidR="0094093F" w:rsidRPr="0094093F" w:rsidRDefault="0094093F" w:rsidP="0052493E">
      <w:pPr>
        <w:pStyle w:val="p16"/>
        <w:tabs>
          <w:tab w:val="left" w:pos="993"/>
        </w:tabs>
        <w:spacing w:before="510" w:beforeAutospacing="0" w:after="0" w:afterAutospacing="0"/>
        <w:jc w:val="center"/>
        <w:rPr>
          <w:b/>
          <w:bCs/>
          <w:color w:val="000000"/>
          <w:lang w:val="es-CO"/>
        </w:rPr>
      </w:pPr>
      <w:r w:rsidRPr="0094093F">
        <w:rPr>
          <w:b/>
          <w:bCs/>
          <w:color w:val="000000"/>
          <w:lang w:val="es-CO"/>
        </w:rPr>
        <w:t>2. Transformación digital y economía digital</w:t>
      </w:r>
    </w:p>
    <w:p w:rsidR="006E02F1" w:rsidRDefault="00DF0BBE" w:rsidP="006E02F1">
      <w:pPr>
        <w:pStyle w:val="p19"/>
        <w:tabs>
          <w:tab w:val="left" w:pos="993"/>
        </w:tabs>
        <w:spacing w:before="195" w:after="0"/>
        <w:ind w:left="1560" w:hanging="1560"/>
        <w:jc w:val="both"/>
        <w:rPr>
          <w:color w:val="FF0000"/>
          <w:lang w:val="es-CO"/>
        </w:rPr>
      </w:pPr>
      <w:r w:rsidRPr="0088059B">
        <w:rPr>
          <w:b/>
          <w:lang w:val="es-CO"/>
        </w:rPr>
        <w:t xml:space="preserve">Objetivo </w:t>
      </w:r>
      <w:r w:rsidRPr="00DF0BBE">
        <w:rPr>
          <w:b/>
          <w:lang w:val="es-CO"/>
        </w:rPr>
        <w:t>5:</w:t>
      </w:r>
      <w:r w:rsidR="006E02F1" w:rsidRPr="00DF0BBE">
        <w:rPr>
          <w:lang w:val="es-CO"/>
        </w:rPr>
        <w:tab/>
        <w:t>Impuls</w:t>
      </w:r>
      <w:r w:rsidRPr="00DF0BBE">
        <w:rPr>
          <w:lang w:val="es-CO"/>
        </w:rPr>
        <w:t>ar</w:t>
      </w:r>
      <w:r w:rsidR="006E02F1" w:rsidRPr="00DF0BBE">
        <w:rPr>
          <w:lang w:val="es-CO"/>
        </w:rPr>
        <w:t xml:space="preserve"> la adopción, difusión y uso efectivo de herramientas digitales avanzadas para </w:t>
      </w:r>
      <w:r w:rsidRPr="00DF0BBE">
        <w:rPr>
          <w:lang w:val="es-CO"/>
        </w:rPr>
        <w:t>promover</w:t>
      </w:r>
      <w:r w:rsidR="006E02F1" w:rsidRPr="00DF0BBE">
        <w:rPr>
          <w:lang w:val="es-CO"/>
        </w:rPr>
        <w:t xml:space="preserve"> la productividad de las empresas, fomentar el dinamismo empresarial y el cambio estructural, con foco</w:t>
      </w:r>
      <w:r w:rsidRPr="00DF0BBE">
        <w:rPr>
          <w:lang w:val="es-CO"/>
        </w:rPr>
        <w:t xml:space="preserve"> en</w:t>
      </w:r>
      <w:r w:rsidR="006E02F1" w:rsidRPr="00DF0BBE">
        <w:rPr>
          <w:lang w:val="es-CO"/>
        </w:rPr>
        <w:t xml:space="preserve"> las pequeñas y medianas empresas (P</w:t>
      </w:r>
      <w:r w:rsidR="00B10B1E">
        <w:rPr>
          <w:lang w:val="es-CO"/>
        </w:rPr>
        <w:t>y</w:t>
      </w:r>
      <w:r w:rsidR="006E02F1" w:rsidRPr="00DF0BBE">
        <w:rPr>
          <w:lang w:val="es-CO"/>
        </w:rPr>
        <w:t>ME).</w:t>
      </w:r>
    </w:p>
    <w:p w:rsidR="002D42C9" w:rsidRDefault="0094093F" w:rsidP="002D42C9">
      <w:pPr>
        <w:pStyle w:val="p21"/>
        <w:tabs>
          <w:tab w:val="left" w:pos="993"/>
        </w:tabs>
        <w:spacing w:before="225" w:beforeAutospacing="0" w:after="0" w:afterAutospacing="0"/>
        <w:ind w:left="1560" w:hanging="1560"/>
        <w:jc w:val="both"/>
        <w:rPr>
          <w:color w:val="000000"/>
          <w:lang w:val="es-CO"/>
        </w:rPr>
      </w:pPr>
      <w:r w:rsidRPr="0088059B">
        <w:rPr>
          <w:b/>
          <w:lang w:val="es-CO"/>
        </w:rPr>
        <w:t xml:space="preserve">Objetivo </w:t>
      </w:r>
      <w:r w:rsidR="00DF0BBE">
        <w:rPr>
          <w:b/>
          <w:lang w:val="es-CO"/>
        </w:rPr>
        <w:t>6</w:t>
      </w:r>
      <w:r w:rsidRPr="0088059B">
        <w:rPr>
          <w:b/>
          <w:color w:val="000000"/>
          <w:lang w:val="es-CO"/>
        </w:rPr>
        <w:t>:</w:t>
      </w:r>
      <w:r w:rsidRPr="0094093F">
        <w:rPr>
          <w:color w:val="000000"/>
          <w:lang w:val="es-CO"/>
        </w:rPr>
        <w:t xml:space="preserve"> </w:t>
      </w:r>
      <w:r w:rsidR="0088059B">
        <w:rPr>
          <w:color w:val="000000"/>
          <w:lang w:val="es-CO"/>
        </w:rPr>
        <w:tab/>
      </w:r>
      <w:r w:rsidRPr="0094093F">
        <w:rPr>
          <w:color w:val="000000"/>
          <w:lang w:val="es-CO"/>
        </w:rPr>
        <w:t xml:space="preserve">Promover ecosistemas de emprendimiento y acciones </w:t>
      </w:r>
      <w:r w:rsidR="00E4356D">
        <w:rPr>
          <w:color w:val="000000"/>
          <w:lang w:val="es-CO"/>
        </w:rPr>
        <w:t xml:space="preserve">de colaboración </w:t>
      </w:r>
      <w:r w:rsidRPr="0094093F">
        <w:rPr>
          <w:color w:val="000000"/>
          <w:lang w:val="es-CO"/>
        </w:rPr>
        <w:t>públicas y privadas para impulsar la innovación basada en datos y acelerar los emprendimientos de base tecnológica</w:t>
      </w:r>
      <w:r w:rsidR="00A842CF">
        <w:rPr>
          <w:color w:val="000000"/>
          <w:lang w:val="es-CO"/>
        </w:rPr>
        <w:t xml:space="preserve">, considerando incubadoras, aceleradoras </w:t>
      </w:r>
      <w:r w:rsidR="00DA77CF">
        <w:rPr>
          <w:color w:val="000000"/>
          <w:lang w:val="es-CO"/>
        </w:rPr>
        <w:t>y redes</w:t>
      </w:r>
      <w:r w:rsidR="00A842CF">
        <w:rPr>
          <w:color w:val="000000"/>
          <w:lang w:val="es-CO"/>
        </w:rPr>
        <w:t xml:space="preserve"> empresariales</w:t>
      </w:r>
      <w:r w:rsidRPr="0094093F">
        <w:rPr>
          <w:color w:val="000000"/>
          <w:lang w:val="es-CO"/>
        </w:rPr>
        <w:t>.</w:t>
      </w:r>
    </w:p>
    <w:p w:rsidR="002D42C9" w:rsidRPr="002D42C9" w:rsidRDefault="002D42C9" w:rsidP="002D42C9">
      <w:pPr>
        <w:pStyle w:val="p21"/>
        <w:tabs>
          <w:tab w:val="left" w:pos="993"/>
        </w:tabs>
        <w:spacing w:before="225" w:beforeAutospacing="0" w:after="0" w:afterAutospacing="0"/>
        <w:ind w:left="1560" w:hanging="1560"/>
        <w:jc w:val="both"/>
        <w:rPr>
          <w:color w:val="000000"/>
          <w:lang w:val="es-CO"/>
        </w:rPr>
      </w:pPr>
    </w:p>
    <w:p w:rsidR="008B6A55" w:rsidRDefault="00E8498C" w:rsidP="000A50A6">
      <w:pPr>
        <w:pStyle w:val="p19"/>
        <w:tabs>
          <w:tab w:val="left" w:pos="993"/>
        </w:tabs>
        <w:spacing w:before="0" w:beforeAutospacing="0" w:after="0"/>
        <w:ind w:left="1560" w:hanging="1560"/>
        <w:jc w:val="both"/>
        <w:rPr>
          <w:lang w:val="es-CO"/>
        </w:rPr>
      </w:pPr>
      <w:r w:rsidRPr="0088059B">
        <w:rPr>
          <w:b/>
          <w:lang w:val="es-CO"/>
        </w:rPr>
        <w:t xml:space="preserve">Objetivo </w:t>
      </w:r>
      <w:r w:rsidR="00DF0BBE">
        <w:rPr>
          <w:b/>
          <w:lang w:val="es-CO"/>
        </w:rPr>
        <w:t>7</w:t>
      </w:r>
      <w:r w:rsidRPr="0088059B">
        <w:rPr>
          <w:b/>
          <w:color w:val="000000"/>
          <w:lang w:val="es-CO"/>
        </w:rPr>
        <w:t>:</w:t>
      </w:r>
      <w:r>
        <w:rPr>
          <w:color w:val="FF0000"/>
          <w:lang w:val="es-CO"/>
        </w:rPr>
        <w:tab/>
      </w:r>
      <w:r w:rsidR="00DF0BBE" w:rsidRPr="00DF0BBE">
        <w:rPr>
          <w:lang w:val="es-CO"/>
        </w:rPr>
        <w:t>Estimular</w:t>
      </w:r>
      <w:r w:rsidR="008B6A55" w:rsidRPr="00DF0BBE">
        <w:rPr>
          <w:lang w:val="es-CO"/>
        </w:rPr>
        <w:t xml:space="preserve"> opciones de financiamiento diversificadas para emprendimientos de base tecnológica, incluidas fuentes alternativas de financiamiento, préstamos de persona a persona, </w:t>
      </w:r>
      <w:r w:rsidR="00724D79">
        <w:rPr>
          <w:lang w:val="es-CO"/>
        </w:rPr>
        <w:t xml:space="preserve">servicios financieros de </w:t>
      </w:r>
      <w:r w:rsidR="008B6A55" w:rsidRPr="00DF0BBE">
        <w:rPr>
          <w:lang w:val="es-CO"/>
        </w:rPr>
        <w:t xml:space="preserve">plataformas </w:t>
      </w:r>
      <w:r w:rsidR="00E4356D">
        <w:rPr>
          <w:lang w:val="es-CO"/>
        </w:rPr>
        <w:t xml:space="preserve">digitales </w:t>
      </w:r>
      <w:r w:rsidR="008B6A55" w:rsidRPr="00DF0BBE">
        <w:rPr>
          <w:lang w:val="es-CO"/>
        </w:rPr>
        <w:t xml:space="preserve">y otros, </w:t>
      </w:r>
      <w:r w:rsidRPr="00DF0BBE">
        <w:rPr>
          <w:lang w:val="es-CO"/>
        </w:rPr>
        <w:t>además de utilizar las tecnologías digitales para reducir las asimetrías de información y las barreras de acceso a mercados de capital.</w:t>
      </w:r>
    </w:p>
    <w:p w:rsidR="00C36006" w:rsidRPr="00C36006" w:rsidRDefault="00C36006" w:rsidP="0052493E">
      <w:pPr>
        <w:pStyle w:val="p21"/>
        <w:tabs>
          <w:tab w:val="left" w:pos="993"/>
        </w:tabs>
        <w:spacing w:before="225" w:after="0"/>
        <w:ind w:left="1560" w:hanging="1560"/>
        <w:jc w:val="both"/>
        <w:rPr>
          <w:color w:val="000000"/>
          <w:lang w:val="es-CO"/>
        </w:rPr>
      </w:pPr>
      <w:r w:rsidRPr="0088059B">
        <w:rPr>
          <w:b/>
          <w:lang w:val="es-CO"/>
        </w:rPr>
        <w:t xml:space="preserve">Objetivo </w:t>
      </w:r>
      <w:r w:rsidR="0052493E">
        <w:rPr>
          <w:b/>
          <w:lang w:val="es-CO"/>
        </w:rPr>
        <w:t>8</w:t>
      </w:r>
      <w:r w:rsidRPr="0088059B">
        <w:rPr>
          <w:b/>
          <w:color w:val="000000"/>
          <w:lang w:val="es-CO"/>
        </w:rPr>
        <w:t>:</w:t>
      </w:r>
      <w:r>
        <w:rPr>
          <w:color w:val="FF0000"/>
          <w:lang w:val="es-CO"/>
        </w:rPr>
        <w:tab/>
      </w:r>
      <w:r w:rsidRPr="00C36006">
        <w:rPr>
          <w:color w:val="000000"/>
          <w:lang w:val="es-CO"/>
        </w:rPr>
        <w:t xml:space="preserve">Atender los desafíos emergentes de la economía digital mediante la actualización de normas y regulaciones en materia fiscal, de competencia </w:t>
      </w:r>
      <w:r>
        <w:rPr>
          <w:color w:val="000000"/>
          <w:lang w:val="es-CO"/>
        </w:rPr>
        <w:t>y comercio internacional</w:t>
      </w:r>
      <w:r w:rsidR="0052493E">
        <w:rPr>
          <w:color w:val="000000"/>
          <w:lang w:val="es-CO"/>
        </w:rPr>
        <w:t>, en un marco</w:t>
      </w:r>
      <w:r w:rsidR="0052493E" w:rsidRPr="0052493E">
        <w:rPr>
          <w:color w:val="000000"/>
          <w:lang w:val="es-CO"/>
        </w:rPr>
        <w:t xml:space="preserve"> que fomente</w:t>
      </w:r>
      <w:r w:rsidR="0052493E">
        <w:rPr>
          <w:color w:val="000000"/>
          <w:lang w:val="es-CO"/>
        </w:rPr>
        <w:t xml:space="preserve"> el</w:t>
      </w:r>
      <w:r w:rsidR="0052493E" w:rsidRPr="0052493E">
        <w:rPr>
          <w:color w:val="000000"/>
          <w:lang w:val="es-CO"/>
        </w:rPr>
        <w:t xml:space="preserve"> </w:t>
      </w:r>
      <w:r w:rsidR="0052493E">
        <w:rPr>
          <w:color w:val="000000"/>
          <w:lang w:val="es-CO"/>
        </w:rPr>
        <w:t>desarrollo sostenible.</w:t>
      </w:r>
    </w:p>
    <w:p w:rsidR="00622585" w:rsidRDefault="00622585" w:rsidP="000A50A6">
      <w:pPr>
        <w:pStyle w:val="p20"/>
        <w:tabs>
          <w:tab w:val="left" w:pos="993"/>
        </w:tabs>
        <w:spacing w:before="450" w:beforeAutospacing="0" w:after="0" w:afterAutospacing="0"/>
        <w:jc w:val="center"/>
        <w:rPr>
          <w:b/>
          <w:bCs/>
          <w:color w:val="000000"/>
          <w:lang w:val="es-CO"/>
        </w:rPr>
      </w:pPr>
    </w:p>
    <w:p w:rsidR="0094093F" w:rsidRPr="0094093F" w:rsidRDefault="00DF0BBE" w:rsidP="000A50A6">
      <w:pPr>
        <w:pStyle w:val="p20"/>
        <w:tabs>
          <w:tab w:val="left" w:pos="993"/>
        </w:tabs>
        <w:spacing w:before="450" w:beforeAutospacing="0" w:after="0" w:afterAutospacing="0"/>
        <w:jc w:val="center"/>
        <w:rPr>
          <w:b/>
          <w:bCs/>
          <w:color w:val="000000"/>
          <w:lang w:val="es-CO"/>
        </w:rPr>
      </w:pPr>
      <w:r>
        <w:rPr>
          <w:b/>
          <w:bCs/>
          <w:color w:val="000000"/>
          <w:lang w:val="es-CO"/>
        </w:rPr>
        <w:lastRenderedPageBreak/>
        <w:t>3</w:t>
      </w:r>
      <w:r w:rsidR="0094093F" w:rsidRPr="0094093F">
        <w:rPr>
          <w:b/>
          <w:bCs/>
          <w:color w:val="000000"/>
          <w:lang w:val="es-CO"/>
        </w:rPr>
        <w:t>. Gobierno digital</w:t>
      </w:r>
    </w:p>
    <w:p w:rsidR="0094093F" w:rsidRPr="0088059B" w:rsidRDefault="0094093F" w:rsidP="0088059B">
      <w:pPr>
        <w:pStyle w:val="p25"/>
        <w:tabs>
          <w:tab w:val="left" w:pos="993"/>
        </w:tabs>
        <w:spacing w:before="255" w:beforeAutospacing="0" w:after="0" w:afterAutospacing="0"/>
        <w:ind w:left="1560" w:hanging="1560"/>
        <w:jc w:val="both"/>
        <w:rPr>
          <w:rStyle w:val="ft2"/>
          <w:b/>
          <w:lang w:val="es-CO"/>
        </w:rPr>
      </w:pPr>
      <w:r w:rsidRPr="0088059B">
        <w:rPr>
          <w:rStyle w:val="ft2"/>
          <w:b/>
          <w:lang w:val="es-CO"/>
        </w:rPr>
        <w:t xml:space="preserve">Objetivo </w:t>
      </w:r>
      <w:r w:rsidR="0052493E">
        <w:rPr>
          <w:rStyle w:val="ft2"/>
          <w:b/>
          <w:lang w:val="es-CO"/>
        </w:rPr>
        <w:t>9</w:t>
      </w:r>
      <w:r w:rsidRPr="0088059B">
        <w:rPr>
          <w:rStyle w:val="ft2"/>
          <w:b/>
          <w:lang w:val="es-CO"/>
        </w:rPr>
        <w:t xml:space="preserve">: </w:t>
      </w:r>
      <w:r w:rsidR="0088059B">
        <w:rPr>
          <w:rStyle w:val="ft2"/>
          <w:b/>
          <w:lang w:val="es-CO"/>
        </w:rPr>
        <w:tab/>
      </w:r>
      <w:r w:rsidRPr="0088059B">
        <w:rPr>
          <w:rStyle w:val="ft2"/>
          <w:lang w:val="es-CO"/>
        </w:rPr>
        <w:t>Establecer e impulsar estándares de servicios digitales que faciliten y agilicen los servicios gubernamentales y promuevan múltiples canales de acceso, favoreciendo un entorno regional interoperable de servicios digitales mediante el desarrollo de infraestructura, plataformas, arquitecturas, estándares y sistemas integrados.</w:t>
      </w:r>
    </w:p>
    <w:p w:rsidR="0094093F" w:rsidRPr="00DF0BBE" w:rsidRDefault="0094093F" w:rsidP="0088059B">
      <w:pPr>
        <w:pStyle w:val="p25"/>
        <w:tabs>
          <w:tab w:val="left" w:pos="993"/>
        </w:tabs>
        <w:spacing w:before="255" w:beforeAutospacing="0" w:after="0" w:afterAutospacing="0"/>
        <w:ind w:left="1560" w:hanging="1560"/>
        <w:jc w:val="both"/>
        <w:rPr>
          <w:rStyle w:val="ft2"/>
          <w:lang w:val="es-CO"/>
        </w:rPr>
      </w:pPr>
      <w:r w:rsidRPr="0088059B">
        <w:rPr>
          <w:rStyle w:val="ft2"/>
          <w:b/>
          <w:lang w:val="es-CO"/>
        </w:rPr>
        <w:t xml:space="preserve">Objetivo </w:t>
      </w:r>
      <w:r w:rsidR="0052493E">
        <w:rPr>
          <w:rStyle w:val="ft2"/>
          <w:b/>
          <w:lang w:val="es-CO"/>
        </w:rPr>
        <w:t>10</w:t>
      </w:r>
      <w:r w:rsidRPr="0088059B">
        <w:rPr>
          <w:rStyle w:val="ft2"/>
          <w:b/>
          <w:lang w:val="es-CO"/>
        </w:rPr>
        <w:t>:</w:t>
      </w:r>
      <w:r w:rsidRPr="0088059B">
        <w:rPr>
          <w:rStyle w:val="ft2"/>
          <w:lang w:val="es-CO"/>
        </w:rPr>
        <w:t xml:space="preserve"> </w:t>
      </w:r>
      <w:r w:rsidR="0088059B" w:rsidRPr="0088059B">
        <w:rPr>
          <w:rStyle w:val="ft2"/>
          <w:lang w:val="es-CO"/>
        </w:rPr>
        <w:tab/>
      </w:r>
      <w:r w:rsidRPr="0088059B">
        <w:rPr>
          <w:rStyle w:val="ft2"/>
          <w:lang w:val="es-CO"/>
        </w:rPr>
        <w:t xml:space="preserve">Promover la adopción de una estrategia regional de estándares para la gestión e interoperabilidad de la identidad digital, la firma digital o electrónica avanzada, la apostilla electrónica y la historia clínica electrónica, que impulsen innovaciones </w:t>
      </w:r>
      <w:r w:rsidRPr="00DF0BBE">
        <w:rPr>
          <w:rStyle w:val="ft2"/>
          <w:lang w:val="es-CO"/>
        </w:rPr>
        <w:t>en los sectores público y privado, preservando la privacidad de la información, fortaleciendo la seguridad y la confianza en las transacciones en línea.</w:t>
      </w:r>
    </w:p>
    <w:p w:rsidR="0094093F" w:rsidRPr="00B10B1E" w:rsidRDefault="0094093F" w:rsidP="00B10B1E">
      <w:pPr>
        <w:pStyle w:val="p25"/>
        <w:tabs>
          <w:tab w:val="left" w:pos="993"/>
        </w:tabs>
        <w:spacing w:before="255" w:beforeAutospacing="0" w:after="0" w:afterAutospacing="0"/>
        <w:ind w:left="1560" w:hanging="1560"/>
        <w:jc w:val="both"/>
        <w:rPr>
          <w:rStyle w:val="ft2"/>
          <w:lang w:val="es-CO"/>
        </w:rPr>
      </w:pPr>
      <w:r w:rsidRPr="00DF0BBE">
        <w:rPr>
          <w:rStyle w:val="ft2"/>
          <w:b/>
          <w:lang w:val="es-CO"/>
        </w:rPr>
        <w:t>Objetivo 1</w:t>
      </w:r>
      <w:r w:rsidR="0052493E">
        <w:rPr>
          <w:rStyle w:val="ft2"/>
          <w:b/>
          <w:lang w:val="es-CO"/>
        </w:rPr>
        <w:t>1</w:t>
      </w:r>
      <w:r w:rsidRPr="00DF0BBE">
        <w:rPr>
          <w:rStyle w:val="ft2"/>
          <w:b/>
          <w:lang w:val="es-CO"/>
        </w:rPr>
        <w:t>:</w:t>
      </w:r>
      <w:r w:rsidRPr="00B10B1E">
        <w:rPr>
          <w:rStyle w:val="ft2"/>
          <w:b/>
          <w:lang w:val="es-CO"/>
        </w:rPr>
        <w:t> </w:t>
      </w:r>
      <w:r w:rsidR="0088059B" w:rsidRPr="00B10B1E">
        <w:rPr>
          <w:rStyle w:val="ft2"/>
          <w:b/>
          <w:lang w:val="es-CO"/>
        </w:rPr>
        <w:tab/>
      </w:r>
      <w:r w:rsidRPr="00B10B1E">
        <w:rPr>
          <w:rStyle w:val="ft2"/>
          <w:lang w:val="es-CO"/>
        </w:rPr>
        <w:t>Promover el uso de sistemas digitales para compras gubernamentales, contrataciones de servicios y obras públicas, que permita asegurar la transparencia, la vigilancia ciudadana y una efectiva rendición de cuentas.</w:t>
      </w:r>
    </w:p>
    <w:p w:rsidR="0094093F" w:rsidRPr="00DF0BBE" w:rsidRDefault="00DF0BBE" w:rsidP="0088059B">
      <w:pPr>
        <w:pStyle w:val="p30"/>
        <w:tabs>
          <w:tab w:val="left" w:pos="993"/>
        </w:tabs>
        <w:spacing w:before="450" w:beforeAutospacing="0" w:after="0" w:afterAutospacing="0"/>
        <w:ind w:left="1276" w:hanging="1276"/>
        <w:jc w:val="center"/>
        <w:rPr>
          <w:b/>
          <w:bCs/>
          <w:lang w:val="es-CO"/>
        </w:rPr>
      </w:pPr>
      <w:r w:rsidRPr="00DF0BBE">
        <w:rPr>
          <w:b/>
          <w:bCs/>
          <w:lang w:val="es-CO"/>
        </w:rPr>
        <w:t>4</w:t>
      </w:r>
      <w:r w:rsidR="0094093F" w:rsidRPr="00DF0BBE">
        <w:rPr>
          <w:b/>
          <w:bCs/>
          <w:lang w:val="es-CO"/>
        </w:rPr>
        <w:t xml:space="preserve">. </w:t>
      </w:r>
      <w:r w:rsidR="008332DC" w:rsidRPr="00DF0BBE">
        <w:rPr>
          <w:b/>
          <w:bCs/>
          <w:lang w:val="es-CO"/>
        </w:rPr>
        <w:t>I</w:t>
      </w:r>
      <w:r w:rsidR="0094093F" w:rsidRPr="00DF0BBE">
        <w:rPr>
          <w:b/>
          <w:bCs/>
          <w:lang w:val="es-CO"/>
        </w:rPr>
        <w:t>nclusión y habilidades digitales</w:t>
      </w:r>
    </w:p>
    <w:p w:rsidR="0005797D" w:rsidRPr="00DF0BBE" w:rsidRDefault="0094093F" w:rsidP="0005797D">
      <w:pPr>
        <w:pStyle w:val="p31"/>
        <w:tabs>
          <w:tab w:val="left" w:pos="993"/>
        </w:tabs>
        <w:spacing w:before="255" w:beforeAutospacing="0" w:after="0" w:afterAutospacing="0"/>
        <w:ind w:left="1701" w:hanging="1843"/>
        <w:jc w:val="both"/>
        <w:rPr>
          <w:lang w:val="es-CO"/>
        </w:rPr>
      </w:pPr>
      <w:r w:rsidRPr="00DF0BBE">
        <w:rPr>
          <w:rStyle w:val="ft15"/>
          <w:b/>
          <w:bCs/>
          <w:lang w:val="es-CO"/>
        </w:rPr>
        <w:t>Objetivo 1</w:t>
      </w:r>
      <w:r w:rsidR="0052493E">
        <w:rPr>
          <w:rStyle w:val="ft15"/>
          <w:b/>
          <w:bCs/>
          <w:lang w:val="es-CO"/>
        </w:rPr>
        <w:t>2</w:t>
      </w:r>
      <w:r w:rsidRPr="00DF0BBE">
        <w:rPr>
          <w:rStyle w:val="ft15"/>
          <w:b/>
          <w:bCs/>
          <w:lang w:val="es-CO"/>
        </w:rPr>
        <w:t>: </w:t>
      </w:r>
      <w:r w:rsidR="0088059B" w:rsidRPr="00DF0BBE">
        <w:rPr>
          <w:rStyle w:val="ft15"/>
          <w:b/>
          <w:bCs/>
          <w:lang w:val="es-CO"/>
        </w:rPr>
        <w:tab/>
      </w:r>
      <w:r w:rsidRPr="00DF0BBE">
        <w:rPr>
          <w:lang w:val="es-CO"/>
        </w:rPr>
        <w:t>Impulsar el desarrollo y la incorporación de habilidades digitales y de pensamiento computacional en los procesos de enseñanza-aprendizaje, mediante la actualización de los contenidos curriculares, acorde a las capacidades que demandarán las actividades del futuro.</w:t>
      </w:r>
    </w:p>
    <w:p w:rsidR="00D31BAB" w:rsidRPr="00DF0BBE" w:rsidRDefault="00D31BAB" w:rsidP="00D31BAB">
      <w:pPr>
        <w:pStyle w:val="p32"/>
        <w:tabs>
          <w:tab w:val="left" w:pos="993"/>
        </w:tabs>
        <w:spacing w:before="180" w:beforeAutospacing="0" w:after="0" w:afterAutospacing="0"/>
        <w:ind w:left="1701" w:hanging="1843"/>
        <w:jc w:val="both"/>
        <w:rPr>
          <w:lang w:val="es-CO"/>
        </w:rPr>
      </w:pPr>
      <w:r w:rsidRPr="00DF0BBE">
        <w:rPr>
          <w:rStyle w:val="ft14"/>
          <w:b/>
          <w:bCs/>
          <w:lang w:val="es-CO"/>
        </w:rPr>
        <w:t>Objetivo 13:</w:t>
      </w:r>
      <w:r w:rsidRPr="00DF0BBE">
        <w:rPr>
          <w:rStyle w:val="ft14"/>
          <w:bCs/>
          <w:lang w:val="es-CO"/>
        </w:rPr>
        <w:t> </w:t>
      </w:r>
      <w:r w:rsidRPr="00DF0BBE">
        <w:rPr>
          <w:rStyle w:val="ft14"/>
          <w:bCs/>
          <w:lang w:val="es-CO"/>
        </w:rPr>
        <w:tab/>
      </w:r>
      <w:r w:rsidRPr="00DF0BBE">
        <w:rPr>
          <w:lang w:val="es-CO"/>
        </w:rPr>
        <w:t xml:space="preserve">Fortalecer las habilidades digitales avanzadas, técnicas y profesionales, </w:t>
      </w:r>
      <w:r>
        <w:rPr>
          <w:lang w:val="es-CO"/>
        </w:rPr>
        <w:t>y</w:t>
      </w:r>
      <w:r w:rsidRPr="00DF0BBE">
        <w:rPr>
          <w:lang w:val="es-CO"/>
        </w:rPr>
        <w:t xml:space="preserve"> proveer incentivos para que las empresas y los gobiernos capaciten continuamente a </w:t>
      </w:r>
      <w:r>
        <w:rPr>
          <w:lang w:val="es-CO"/>
        </w:rPr>
        <w:t>los</w:t>
      </w:r>
      <w:r w:rsidRPr="00DF0BBE">
        <w:rPr>
          <w:lang w:val="es-CO"/>
        </w:rPr>
        <w:t xml:space="preserve"> trabajadores</w:t>
      </w:r>
      <w:r>
        <w:rPr>
          <w:lang w:val="es-CO"/>
        </w:rPr>
        <w:t>, con base en las necesidades locales y las demandas del mercado laboral</w:t>
      </w:r>
      <w:r w:rsidRPr="00DF0BBE">
        <w:rPr>
          <w:lang w:val="es-CO"/>
        </w:rPr>
        <w:t>.</w:t>
      </w:r>
    </w:p>
    <w:p w:rsidR="00D31BAB" w:rsidRPr="00DF0BBE" w:rsidRDefault="00D31BAB" w:rsidP="00D31BAB">
      <w:pPr>
        <w:pStyle w:val="p32"/>
        <w:tabs>
          <w:tab w:val="left" w:pos="993"/>
        </w:tabs>
        <w:spacing w:before="180" w:beforeAutospacing="0" w:after="0" w:afterAutospacing="0"/>
        <w:ind w:left="1701" w:hanging="1843"/>
        <w:jc w:val="both"/>
        <w:rPr>
          <w:rStyle w:val="ft14"/>
          <w:bCs/>
          <w:lang w:val="es-CO"/>
        </w:rPr>
      </w:pPr>
      <w:r w:rsidRPr="00DF0BBE">
        <w:rPr>
          <w:rStyle w:val="ft14"/>
          <w:b/>
          <w:bCs/>
          <w:lang w:val="es-CO"/>
        </w:rPr>
        <w:t>Objetivo 1</w:t>
      </w:r>
      <w:r w:rsidR="0052493E">
        <w:rPr>
          <w:rStyle w:val="ft14"/>
          <w:b/>
          <w:bCs/>
          <w:lang w:val="es-CO"/>
        </w:rPr>
        <w:t>4</w:t>
      </w:r>
      <w:r w:rsidRPr="00DF0BBE">
        <w:rPr>
          <w:rStyle w:val="ft14"/>
          <w:b/>
          <w:bCs/>
          <w:lang w:val="es-CO"/>
        </w:rPr>
        <w:t>:</w:t>
      </w:r>
      <w:r w:rsidRPr="00DF0BBE">
        <w:rPr>
          <w:rStyle w:val="ft14"/>
          <w:bCs/>
          <w:lang w:val="es-CO"/>
        </w:rPr>
        <w:t> </w:t>
      </w:r>
      <w:r w:rsidRPr="00DF0BBE">
        <w:rPr>
          <w:rStyle w:val="ft14"/>
          <w:bCs/>
          <w:lang w:val="es-CO"/>
        </w:rPr>
        <w:tab/>
        <w:t xml:space="preserve">Promover una </w:t>
      </w:r>
      <w:r>
        <w:rPr>
          <w:rStyle w:val="ft14"/>
          <w:bCs/>
          <w:lang w:val="es-CO"/>
        </w:rPr>
        <w:t>ciudanía</w:t>
      </w:r>
      <w:r w:rsidRPr="00DF0BBE">
        <w:rPr>
          <w:rStyle w:val="ft14"/>
          <w:bCs/>
          <w:lang w:val="es-CO"/>
        </w:rPr>
        <w:t xml:space="preserve"> digital que incentive el desarrollo de habilidades y competencias digitales para el uso innovador, seguro y responsable de las TIC para </w:t>
      </w:r>
      <w:r>
        <w:rPr>
          <w:rStyle w:val="ft14"/>
          <w:bCs/>
          <w:lang w:val="es-CO"/>
        </w:rPr>
        <w:t>la inclusión digital</w:t>
      </w:r>
      <w:r w:rsidRPr="00DF0BBE">
        <w:rPr>
          <w:rStyle w:val="ft14"/>
          <w:bCs/>
          <w:lang w:val="es-CO"/>
        </w:rPr>
        <w:t>.</w:t>
      </w:r>
    </w:p>
    <w:p w:rsidR="00D31BAB" w:rsidRPr="00DF0BBE" w:rsidRDefault="00D31BAB" w:rsidP="00D31BAB">
      <w:pPr>
        <w:pStyle w:val="p32"/>
        <w:tabs>
          <w:tab w:val="left" w:pos="993"/>
        </w:tabs>
        <w:spacing w:before="180" w:beforeAutospacing="0" w:after="0" w:afterAutospacing="0"/>
        <w:ind w:left="1701" w:hanging="1843"/>
        <w:jc w:val="both"/>
        <w:rPr>
          <w:rStyle w:val="ft14"/>
          <w:bCs/>
          <w:lang w:val="es-CO"/>
        </w:rPr>
      </w:pPr>
      <w:r w:rsidRPr="00DF0BBE">
        <w:rPr>
          <w:rStyle w:val="ft14"/>
          <w:b/>
          <w:bCs/>
          <w:lang w:val="es-CO"/>
        </w:rPr>
        <w:t>O</w:t>
      </w:r>
      <w:r w:rsidRPr="00DF0BBE">
        <w:rPr>
          <w:rStyle w:val="ft14"/>
          <w:b/>
          <w:lang w:val="es-CO"/>
        </w:rPr>
        <w:t>bjetivo 1</w:t>
      </w:r>
      <w:r w:rsidR="0052493E">
        <w:rPr>
          <w:rStyle w:val="ft14"/>
          <w:b/>
          <w:lang w:val="es-CO"/>
        </w:rPr>
        <w:t>5</w:t>
      </w:r>
      <w:r w:rsidRPr="00DF0BBE">
        <w:rPr>
          <w:rStyle w:val="ft14"/>
          <w:b/>
          <w:lang w:val="es-CO"/>
        </w:rPr>
        <w:t>:</w:t>
      </w:r>
      <w:r w:rsidRPr="00DF0BBE">
        <w:rPr>
          <w:rStyle w:val="ft14"/>
          <w:lang w:val="es-CO"/>
        </w:rPr>
        <w:t> </w:t>
      </w:r>
      <w:r w:rsidRPr="00DF0BBE">
        <w:rPr>
          <w:rStyle w:val="ft14"/>
          <w:lang w:val="es-CO"/>
        </w:rPr>
        <w:tab/>
        <w:t xml:space="preserve">Promover </w:t>
      </w:r>
      <w:r w:rsidRPr="00DF0BBE">
        <w:rPr>
          <w:rStyle w:val="ft14"/>
          <w:bCs/>
          <w:lang w:val="es-CO"/>
        </w:rPr>
        <w:t xml:space="preserve">la accesibilidad de las tecnologías digitales como condición necesaria para la inclusión de las </w:t>
      </w:r>
      <w:r w:rsidRPr="00DF0BBE">
        <w:rPr>
          <w:lang w:val="es-CO"/>
        </w:rPr>
        <w:t xml:space="preserve">personas con discapacidades visuales, auditivas, de movilidad, de destreza y cognitivas en </w:t>
      </w:r>
      <w:r w:rsidRPr="00DF0BBE">
        <w:rPr>
          <w:rStyle w:val="ft14"/>
          <w:bCs/>
          <w:lang w:val="es-CO"/>
        </w:rPr>
        <w:t>el trabajo, la educación,</w:t>
      </w:r>
      <w:r>
        <w:rPr>
          <w:rStyle w:val="ft14"/>
          <w:bCs/>
          <w:lang w:val="es-CO"/>
        </w:rPr>
        <w:t xml:space="preserve"> la salud,</w:t>
      </w:r>
      <w:r w:rsidRPr="00DF0BBE">
        <w:rPr>
          <w:rStyle w:val="ft14"/>
          <w:bCs/>
          <w:lang w:val="es-CO"/>
        </w:rPr>
        <w:t xml:space="preserve"> el acceso a la justicia, los servicios públicos y las ciudades inteligentes.</w:t>
      </w:r>
    </w:p>
    <w:p w:rsidR="00D31BAB" w:rsidRPr="00DF0BBE" w:rsidRDefault="00D31BAB" w:rsidP="00D31BAB">
      <w:pPr>
        <w:pStyle w:val="p32"/>
        <w:tabs>
          <w:tab w:val="left" w:pos="993"/>
        </w:tabs>
        <w:spacing w:before="180" w:beforeAutospacing="0" w:after="0" w:afterAutospacing="0"/>
        <w:ind w:left="1701" w:hanging="1843"/>
        <w:jc w:val="both"/>
        <w:rPr>
          <w:rStyle w:val="ft14"/>
          <w:bCs/>
          <w:lang w:val="es-CO"/>
        </w:rPr>
      </w:pPr>
      <w:r w:rsidRPr="00DF0BBE">
        <w:rPr>
          <w:rStyle w:val="ft14"/>
          <w:b/>
          <w:lang w:val="es-CO"/>
        </w:rPr>
        <w:t>Objetivo 16:</w:t>
      </w:r>
      <w:r w:rsidRPr="00DF0BBE">
        <w:rPr>
          <w:rStyle w:val="ft14"/>
          <w:lang w:val="es-CO"/>
        </w:rPr>
        <w:t> </w:t>
      </w:r>
      <w:r w:rsidRPr="00DF0BBE">
        <w:rPr>
          <w:rStyle w:val="ft14"/>
          <w:lang w:val="es-CO"/>
        </w:rPr>
        <w:tab/>
        <w:t>Promover una perspectiva integral de igualdad de género en las políticas públicas de desarrollo digital, asegurando el pleno acceso y uso de las TIC a las mujeres y niñas, además del impulso de su participación y liderazgo en espacios públicos y privados de decisión</w:t>
      </w:r>
    </w:p>
    <w:p w:rsidR="0005797D" w:rsidRDefault="00DF0BBE" w:rsidP="0005797D">
      <w:pPr>
        <w:pStyle w:val="p31"/>
        <w:tabs>
          <w:tab w:val="left" w:pos="993"/>
        </w:tabs>
        <w:spacing w:before="255" w:beforeAutospacing="0" w:after="0" w:afterAutospacing="0"/>
        <w:ind w:left="1701" w:hanging="1843"/>
        <w:jc w:val="both"/>
        <w:rPr>
          <w:lang w:val="es-CO"/>
        </w:rPr>
      </w:pPr>
      <w:r w:rsidRPr="00DF0BBE">
        <w:rPr>
          <w:rStyle w:val="ft15"/>
          <w:b/>
          <w:bCs/>
          <w:lang w:val="es-CO"/>
        </w:rPr>
        <w:t>Objetivo 1</w:t>
      </w:r>
      <w:r w:rsidR="0052493E">
        <w:rPr>
          <w:rStyle w:val="ft15"/>
          <w:b/>
          <w:bCs/>
          <w:lang w:val="es-CO"/>
        </w:rPr>
        <w:t>7</w:t>
      </w:r>
      <w:r w:rsidRPr="00DF0BBE">
        <w:rPr>
          <w:rStyle w:val="ft15"/>
          <w:b/>
          <w:bCs/>
          <w:lang w:val="es-CO"/>
        </w:rPr>
        <w:t>: </w:t>
      </w:r>
      <w:r w:rsidR="0005797D" w:rsidRPr="00DF0BBE">
        <w:rPr>
          <w:b/>
          <w:lang w:val="es-CO"/>
        </w:rPr>
        <w:tab/>
      </w:r>
      <w:r w:rsidR="0005797D" w:rsidRPr="00DF0BBE">
        <w:rPr>
          <w:lang w:val="es-CO"/>
        </w:rPr>
        <w:t xml:space="preserve">Promover las nuevas formas de empleo y </w:t>
      </w:r>
      <w:r w:rsidR="001C5997" w:rsidRPr="00DF0BBE">
        <w:rPr>
          <w:lang w:val="es-CO"/>
        </w:rPr>
        <w:t>el teletrabajo</w:t>
      </w:r>
      <w:r w:rsidR="00B10B1E">
        <w:rPr>
          <w:lang w:val="es-CO"/>
        </w:rPr>
        <w:t xml:space="preserve"> en la región</w:t>
      </w:r>
      <w:r w:rsidR="0005797D" w:rsidRPr="00DF0BBE">
        <w:rPr>
          <w:lang w:val="es-CO"/>
        </w:rPr>
        <w:t xml:space="preserve">, </w:t>
      </w:r>
      <w:r w:rsidR="00D31BAB">
        <w:rPr>
          <w:lang w:val="es-CO"/>
        </w:rPr>
        <w:t>actualizando</w:t>
      </w:r>
      <w:r w:rsidR="0005797D" w:rsidRPr="00DF0BBE">
        <w:rPr>
          <w:lang w:val="es-CO"/>
        </w:rPr>
        <w:t xml:space="preserve"> las políticas laborales para </w:t>
      </w:r>
      <w:r w:rsidR="00D31BAB">
        <w:rPr>
          <w:lang w:val="es-CO"/>
        </w:rPr>
        <w:t>impulsar</w:t>
      </w:r>
      <w:r w:rsidR="001C5997" w:rsidRPr="00DF0BBE">
        <w:rPr>
          <w:lang w:val="es-CO"/>
        </w:rPr>
        <w:t xml:space="preserve"> una</w:t>
      </w:r>
      <w:r w:rsidR="0005797D" w:rsidRPr="00DF0BBE">
        <w:rPr>
          <w:lang w:val="es-CO"/>
        </w:rPr>
        <w:t xml:space="preserve"> protección social</w:t>
      </w:r>
      <w:r w:rsidR="001C5997" w:rsidRPr="00DF0BBE">
        <w:rPr>
          <w:lang w:val="es-CO"/>
        </w:rPr>
        <w:t xml:space="preserve"> adecuada </w:t>
      </w:r>
      <w:r w:rsidR="0005797D" w:rsidRPr="00DF0BBE">
        <w:rPr>
          <w:lang w:val="es-CO"/>
        </w:rPr>
        <w:t xml:space="preserve">y la </w:t>
      </w:r>
      <w:r w:rsidR="00B10B1E">
        <w:rPr>
          <w:lang w:val="es-CO"/>
        </w:rPr>
        <w:t xml:space="preserve">participación de </w:t>
      </w:r>
      <w:r w:rsidR="0005797D" w:rsidRPr="00DF0BBE">
        <w:rPr>
          <w:lang w:val="es-CO"/>
        </w:rPr>
        <w:t>los trabajadores</w:t>
      </w:r>
      <w:r w:rsidR="00D31BAB">
        <w:rPr>
          <w:lang w:val="es-CO"/>
        </w:rPr>
        <w:t xml:space="preserve"> en la economía digital</w:t>
      </w:r>
      <w:r w:rsidR="0005797D" w:rsidRPr="00DF0BBE">
        <w:rPr>
          <w:lang w:val="es-CO"/>
        </w:rPr>
        <w:t xml:space="preserve">. </w:t>
      </w:r>
    </w:p>
    <w:p w:rsidR="00EA7309" w:rsidRPr="00DF0BBE" w:rsidRDefault="00EA7309" w:rsidP="0005797D">
      <w:pPr>
        <w:pStyle w:val="p31"/>
        <w:tabs>
          <w:tab w:val="left" w:pos="993"/>
        </w:tabs>
        <w:spacing w:before="255" w:beforeAutospacing="0" w:after="0" w:afterAutospacing="0"/>
        <w:ind w:left="1701" w:hanging="1843"/>
        <w:jc w:val="both"/>
        <w:rPr>
          <w:lang w:val="es-CO"/>
        </w:rPr>
      </w:pPr>
    </w:p>
    <w:p w:rsidR="0094093F" w:rsidRPr="00DF0BBE" w:rsidRDefault="00DF0BBE" w:rsidP="00B10B1E">
      <w:pPr>
        <w:pStyle w:val="p30"/>
        <w:tabs>
          <w:tab w:val="left" w:pos="993"/>
        </w:tabs>
        <w:spacing w:before="450" w:beforeAutospacing="0" w:after="0" w:afterAutospacing="0"/>
        <w:ind w:left="1276" w:hanging="1276"/>
        <w:jc w:val="center"/>
        <w:rPr>
          <w:b/>
          <w:bCs/>
          <w:lang w:val="es-CO"/>
        </w:rPr>
      </w:pPr>
      <w:r w:rsidRPr="00DF0BBE">
        <w:rPr>
          <w:b/>
          <w:bCs/>
          <w:lang w:val="es-CO"/>
        </w:rPr>
        <w:t>5</w:t>
      </w:r>
      <w:r w:rsidR="0094093F" w:rsidRPr="00DF0BBE">
        <w:rPr>
          <w:b/>
          <w:bCs/>
          <w:lang w:val="es-CO"/>
        </w:rPr>
        <w:t>. Tecnologías emergentes para el desarrollo sostenible</w:t>
      </w:r>
    </w:p>
    <w:p w:rsidR="00DA6266" w:rsidRPr="00DF0BBE" w:rsidRDefault="00DA6266" w:rsidP="00CB4AE3">
      <w:pPr>
        <w:pStyle w:val="p32"/>
        <w:tabs>
          <w:tab w:val="left" w:pos="993"/>
        </w:tabs>
        <w:spacing w:before="180" w:beforeAutospacing="0" w:after="0" w:afterAutospacing="0"/>
        <w:ind w:left="1701" w:hanging="1843"/>
        <w:jc w:val="both"/>
        <w:rPr>
          <w:rStyle w:val="ft14"/>
          <w:lang w:val="es-CO"/>
        </w:rPr>
      </w:pPr>
      <w:r w:rsidRPr="00DF0BBE">
        <w:rPr>
          <w:rStyle w:val="ft14"/>
          <w:b/>
          <w:bCs/>
          <w:lang w:val="es-CO"/>
        </w:rPr>
        <w:t xml:space="preserve">Objetivo </w:t>
      </w:r>
      <w:r w:rsidR="00DF0BBE" w:rsidRPr="00DF0BBE">
        <w:rPr>
          <w:rStyle w:val="ft14"/>
          <w:b/>
          <w:bCs/>
          <w:lang w:val="es-CO"/>
        </w:rPr>
        <w:t>1</w:t>
      </w:r>
      <w:r w:rsidR="0052493E">
        <w:rPr>
          <w:rStyle w:val="ft14"/>
          <w:b/>
          <w:bCs/>
          <w:lang w:val="es-CO"/>
        </w:rPr>
        <w:t>8</w:t>
      </w:r>
      <w:r w:rsidRPr="00DF0BBE">
        <w:rPr>
          <w:rStyle w:val="ft14"/>
          <w:b/>
          <w:bCs/>
          <w:lang w:val="es-CO"/>
        </w:rPr>
        <w:t>:</w:t>
      </w:r>
      <w:r w:rsidRPr="00DF0BBE">
        <w:rPr>
          <w:rStyle w:val="ft14"/>
          <w:bCs/>
          <w:lang w:val="es-CO"/>
        </w:rPr>
        <w:t> </w:t>
      </w:r>
      <w:r w:rsidRPr="00DF0BBE">
        <w:rPr>
          <w:rStyle w:val="ft14"/>
          <w:lang w:val="es-CO"/>
        </w:rPr>
        <w:tab/>
      </w:r>
      <w:r w:rsidR="00CB4AE3" w:rsidRPr="00DF0BBE">
        <w:rPr>
          <w:rStyle w:val="ft14"/>
          <w:lang w:val="es-CO"/>
        </w:rPr>
        <w:t>Impulsar la innovación digital</w:t>
      </w:r>
      <w:r w:rsidRPr="00DF0BBE">
        <w:rPr>
          <w:rStyle w:val="ft14"/>
          <w:lang w:val="es-CO"/>
        </w:rPr>
        <w:t xml:space="preserve"> y de datos</w:t>
      </w:r>
      <w:r w:rsidR="00CB4AE3" w:rsidRPr="00DF0BBE">
        <w:rPr>
          <w:rStyle w:val="ft14"/>
          <w:lang w:val="es-CO"/>
        </w:rPr>
        <w:t xml:space="preserve">, mediante incentivos </w:t>
      </w:r>
      <w:r w:rsidRPr="00DF0BBE">
        <w:rPr>
          <w:rStyle w:val="ft14"/>
          <w:lang w:val="es-CO"/>
        </w:rPr>
        <w:t>para el desarrollo de nuevos productos, la provisión de financiamiento público y privado, un entorno regulatorio flexible y el estímulo a la innovación abierta.</w:t>
      </w:r>
    </w:p>
    <w:p w:rsidR="00896133" w:rsidRPr="00DF0BBE" w:rsidRDefault="006E02F1" w:rsidP="00896133">
      <w:pPr>
        <w:pStyle w:val="p25"/>
        <w:tabs>
          <w:tab w:val="left" w:pos="993"/>
        </w:tabs>
        <w:spacing w:before="255" w:beforeAutospacing="0" w:after="0" w:afterAutospacing="0"/>
        <w:ind w:left="1701" w:hanging="1843"/>
        <w:jc w:val="both"/>
        <w:rPr>
          <w:rStyle w:val="ft2"/>
          <w:lang w:val="es-CO"/>
        </w:rPr>
      </w:pPr>
      <w:r w:rsidRPr="00DF0BBE">
        <w:rPr>
          <w:rStyle w:val="ft2"/>
          <w:b/>
          <w:lang w:val="es-CO"/>
        </w:rPr>
        <w:t>Objetivo 1</w:t>
      </w:r>
      <w:r w:rsidR="0052493E">
        <w:rPr>
          <w:rStyle w:val="ft2"/>
          <w:b/>
          <w:lang w:val="es-CO"/>
        </w:rPr>
        <w:t>9</w:t>
      </w:r>
      <w:r w:rsidRPr="00DF0BBE">
        <w:rPr>
          <w:rStyle w:val="ft2"/>
          <w:b/>
          <w:lang w:val="es-CO"/>
        </w:rPr>
        <w:t>:</w:t>
      </w:r>
      <w:r w:rsidRPr="00DF0BBE">
        <w:rPr>
          <w:rStyle w:val="ft2"/>
          <w:lang w:val="es-CO"/>
        </w:rPr>
        <w:t> </w:t>
      </w:r>
      <w:r w:rsidRPr="00DF0BBE">
        <w:rPr>
          <w:rStyle w:val="ft2"/>
          <w:lang w:val="es-CO"/>
        </w:rPr>
        <w:tab/>
      </w:r>
      <w:r w:rsidRPr="00DF0BBE">
        <w:rPr>
          <w:rStyle w:val="ft14"/>
          <w:lang w:val="es-CO"/>
        </w:rPr>
        <w:t xml:space="preserve">Promover la apertura y la reutilización de datos en el sector público y privado para impulsar innovación y la </w:t>
      </w:r>
      <w:proofErr w:type="spellStart"/>
      <w:r w:rsidRPr="00DF0BBE">
        <w:rPr>
          <w:rStyle w:val="ft14"/>
          <w:lang w:val="es-CO"/>
        </w:rPr>
        <w:t>co-creación</w:t>
      </w:r>
      <w:proofErr w:type="spellEnd"/>
      <w:r w:rsidRPr="00DF0BBE">
        <w:rPr>
          <w:rStyle w:val="ft14"/>
          <w:lang w:val="es-CO"/>
        </w:rPr>
        <w:t xml:space="preserve"> de valor.</w:t>
      </w:r>
    </w:p>
    <w:p w:rsidR="00E4356D" w:rsidRDefault="00896133" w:rsidP="00E4356D">
      <w:pPr>
        <w:pStyle w:val="p32"/>
        <w:tabs>
          <w:tab w:val="left" w:pos="993"/>
        </w:tabs>
        <w:spacing w:before="180" w:after="0"/>
        <w:ind w:left="1701" w:hanging="1843"/>
        <w:jc w:val="both"/>
        <w:rPr>
          <w:rStyle w:val="ft14"/>
          <w:lang w:val="es-CO"/>
        </w:rPr>
      </w:pPr>
      <w:r w:rsidRPr="00DF0BBE">
        <w:rPr>
          <w:rStyle w:val="ft14"/>
          <w:b/>
          <w:bCs/>
          <w:lang w:val="es-CO"/>
        </w:rPr>
        <w:t xml:space="preserve">Objetivo </w:t>
      </w:r>
      <w:r w:rsidR="0052493E">
        <w:rPr>
          <w:rStyle w:val="ft14"/>
          <w:b/>
          <w:bCs/>
          <w:lang w:val="es-CO"/>
        </w:rPr>
        <w:t>20</w:t>
      </w:r>
      <w:r w:rsidRPr="00DF0BBE">
        <w:rPr>
          <w:rStyle w:val="ft14"/>
          <w:b/>
          <w:bCs/>
          <w:lang w:val="es-CO"/>
        </w:rPr>
        <w:t>:</w:t>
      </w:r>
      <w:r w:rsidRPr="00DF0BBE">
        <w:rPr>
          <w:rStyle w:val="ft14"/>
          <w:b/>
          <w:bCs/>
          <w:lang w:val="es-CO"/>
        </w:rPr>
        <w:tab/>
      </w:r>
      <w:r w:rsidRPr="00DF0BBE">
        <w:rPr>
          <w:rStyle w:val="ft14"/>
          <w:lang w:val="es-CO"/>
        </w:rPr>
        <w:t xml:space="preserve">Impulsar </w:t>
      </w:r>
      <w:r w:rsidR="00C54E7D" w:rsidRPr="00DF0BBE">
        <w:rPr>
          <w:rStyle w:val="ft14"/>
          <w:lang w:val="es-CO"/>
        </w:rPr>
        <w:t xml:space="preserve">el uso </w:t>
      </w:r>
      <w:r w:rsidRPr="00DF0BBE">
        <w:rPr>
          <w:rStyle w:val="ft14"/>
          <w:lang w:val="es-CO"/>
        </w:rPr>
        <w:t>de tecnologías emergentes</w:t>
      </w:r>
      <w:r w:rsidR="002231BC" w:rsidRPr="00DF0BBE">
        <w:rPr>
          <w:rStyle w:val="ft14"/>
          <w:lang w:val="es-CO"/>
        </w:rPr>
        <w:t xml:space="preserve"> avanzadas</w:t>
      </w:r>
      <w:r w:rsidR="00974AC2" w:rsidRPr="00DF0BBE">
        <w:rPr>
          <w:rStyle w:val="ft14"/>
          <w:lang w:val="es-CO"/>
        </w:rPr>
        <w:t xml:space="preserve"> de manera </w:t>
      </w:r>
      <w:r w:rsidR="00C54E7D" w:rsidRPr="00DF0BBE">
        <w:rPr>
          <w:rStyle w:val="ft14"/>
          <w:lang w:val="es-CO"/>
        </w:rPr>
        <w:t>convergen</w:t>
      </w:r>
      <w:r w:rsidR="00974AC2" w:rsidRPr="00DF0BBE">
        <w:rPr>
          <w:rStyle w:val="ft14"/>
          <w:lang w:val="es-CO"/>
        </w:rPr>
        <w:t>te</w:t>
      </w:r>
      <w:r w:rsidR="00C54E7D" w:rsidRPr="00DF0BBE">
        <w:rPr>
          <w:rStyle w:val="ft14"/>
          <w:lang w:val="es-CO"/>
        </w:rPr>
        <w:t xml:space="preserve"> e </w:t>
      </w:r>
      <w:r w:rsidR="00974AC2" w:rsidRPr="00DF0BBE">
        <w:rPr>
          <w:rStyle w:val="ft14"/>
          <w:lang w:val="es-CO"/>
        </w:rPr>
        <w:t>interoperable</w:t>
      </w:r>
      <w:r w:rsidR="00C54E7D" w:rsidRPr="00DF0BBE">
        <w:rPr>
          <w:rStyle w:val="ft14"/>
          <w:lang w:val="es-CO"/>
        </w:rPr>
        <w:t>, considerando a su vez aspectos de ética, imparcialidad, transparencia, responsabilidad, seguridad y privacidad.</w:t>
      </w:r>
      <w:r w:rsidRPr="00DF0BBE">
        <w:rPr>
          <w:rStyle w:val="ft14"/>
          <w:lang w:val="es-CO"/>
        </w:rPr>
        <w:t xml:space="preserve"> </w:t>
      </w:r>
    </w:p>
    <w:p w:rsidR="00E4356D" w:rsidRPr="00DF0BBE" w:rsidRDefault="00E4356D" w:rsidP="00E4356D">
      <w:pPr>
        <w:pStyle w:val="p32"/>
        <w:tabs>
          <w:tab w:val="left" w:pos="993"/>
        </w:tabs>
        <w:spacing w:before="180" w:after="0"/>
        <w:ind w:left="1701" w:hanging="1843"/>
        <w:jc w:val="both"/>
        <w:rPr>
          <w:rStyle w:val="ft2"/>
          <w:lang w:val="es-CO"/>
        </w:rPr>
      </w:pPr>
      <w:r w:rsidRPr="00DF0BBE">
        <w:rPr>
          <w:rStyle w:val="ft2"/>
          <w:b/>
          <w:lang w:val="es-CO"/>
        </w:rPr>
        <w:t xml:space="preserve">Objetivo </w:t>
      </w:r>
      <w:r>
        <w:rPr>
          <w:rStyle w:val="ft2"/>
          <w:b/>
          <w:lang w:val="es-CO"/>
        </w:rPr>
        <w:t>2</w:t>
      </w:r>
      <w:r w:rsidR="0052493E">
        <w:rPr>
          <w:rStyle w:val="ft2"/>
          <w:b/>
          <w:lang w:val="es-CO"/>
        </w:rPr>
        <w:t>1</w:t>
      </w:r>
      <w:r w:rsidRPr="00DF0BBE">
        <w:rPr>
          <w:rStyle w:val="ft2"/>
          <w:b/>
          <w:lang w:val="es-CO"/>
        </w:rPr>
        <w:t>:</w:t>
      </w:r>
      <w:r w:rsidRPr="00DF0BBE">
        <w:rPr>
          <w:rStyle w:val="ft2"/>
          <w:lang w:val="es-CO"/>
        </w:rPr>
        <w:tab/>
        <w:t xml:space="preserve">Promover el uso de tecnologías digitales para prevenir, mitigar y adaptarse </w:t>
      </w:r>
      <w:r>
        <w:rPr>
          <w:rStyle w:val="ft2"/>
          <w:lang w:val="es-CO"/>
        </w:rPr>
        <w:t xml:space="preserve">a </w:t>
      </w:r>
      <w:r w:rsidRPr="00DF0BBE">
        <w:rPr>
          <w:rStyle w:val="ft2"/>
          <w:lang w:val="es-CO"/>
        </w:rPr>
        <w:t xml:space="preserve">los efectos del cambio climático y los desastres naturales, reducir las emisiones de gases de efecto invernadero y promover </w:t>
      </w:r>
      <w:r>
        <w:rPr>
          <w:rStyle w:val="ft2"/>
          <w:lang w:val="es-CO"/>
        </w:rPr>
        <w:t xml:space="preserve">el </w:t>
      </w:r>
      <w:r w:rsidRPr="00DF0BBE">
        <w:rPr>
          <w:rStyle w:val="ft2"/>
          <w:lang w:val="es-CO"/>
        </w:rPr>
        <w:t>desarrollo sostenible.</w:t>
      </w:r>
    </w:p>
    <w:p w:rsidR="00B71995" w:rsidRPr="00DF0BBE" w:rsidRDefault="00DF0BBE" w:rsidP="00B10B1E">
      <w:pPr>
        <w:pStyle w:val="p30"/>
        <w:tabs>
          <w:tab w:val="left" w:pos="993"/>
        </w:tabs>
        <w:spacing w:before="450" w:beforeAutospacing="0" w:after="0" w:afterAutospacing="0"/>
        <w:ind w:left="1276" w:hanging="1276"/>
        <w:jc w:val="center"/>
        <w:rPr>
          <w:b/>
          <w:bCs/>
          <w:lang w:val="es-CO"/>
        </w:rPr>
      </w:pPr>
      <w:r w:rsidRPr="00DF0BBE">
        <w:rPr>
          <w:b/>
          <w:bCs/>
          <w:lang w:val="es-CO"/>
        </w:rPr>
        <w:t xml:space="preserve">6. </w:t>
      </w:r>
      <w:r w:rsidR="00B71995" w:rsidRPr="00DF0BBE">
        <w:rPr>
          <w:b/>
          <w:bCs/>
          <w:lang w:val="es-CO"/>
        </w:rPr>
        <w:t>Confianza y seguridad digital</w:t>
      </w:r>
    </w:p>
    <w:p w:rsidR="00CC250E" w:rsidRPr="00DF0BBE" w:rsidRDefault="00CC250E" w:rsidP="0088059B">
      <w:pPr>
        <w:pStyle w:val="p32"/>
        <w:tabs>
          <w:tab w:val="left" w:pos="993"/>
        </w:tabs>
        <w:spacing w:before="180" w:beforeAutospacing="0" w:after="0" w:afterAutospacing="0"/>
        <w:ind w:left="1701" w:hanging="1843"/>
        <w:jc w:val="both"/>
        <w:rPr>
          <w:rStyle w:val="ft14"/>
          <w:lang w:val="es-CO"/>
        </w:rPr>
      </w:pPr>
      <w:r w:rsidRPr="00DF0BBE">
        <w:rPr>
          <w:rStyle w:val="ft14"/>
          <w:b/>
          <w:lang w:val="es-CO"/>
        </w:rPr>
        <w:t>Objetivo 2</w:t>
      </w:r>
      <w:r w:rsidR="0052493E">
        <w:rPr>
          <w:rStyle w:val="ft14"/>
          <w:b/>
          <w:lang w:val="es-CO"/>
        </w:rPr>
        <w:t>2</w:t>
      </w:r>
      <w:r w:rsidRPr="00DF0BBE">
        <w:rPr>
          <w:rStyle w:val="ft14"/>
          <w:b/>
          <w:lang w:val="es-CO"/>
        </w:rPr>
        <w:t>:</w:t>
      </w:r>
      <w:r w:rsidRPr="00DF0BBE">
        <w:rPr>
          <w:rStyle w:val="ft14"/>
          <w:lang w:val="es-CO"/>
        </w:rPr>
        <w:t> </w:t>
      </w:r>
      <w:r w:rsidRPr="00DF0BBE">
        <w:rPr>
          <w:rStyle w:val="ft14"/>
          <w:lang w:val="es-CO"/>
        </w:rPr>
        <w:tab/>
        <w:t>Prevenir y combatir el cibercrimen mediante políticas públicas y estrategias de seguridad digital, el desarrollo y/o establecimiento de marcos normativos, el fortalecimiento de capacidades y la coordinación local, regional e internacional entre equipos de respuesta a incidentes informáticos</w:t>
      </w:r>
    </w:p>
    <w:p w:rsidR="00CC250E" w:rsidRPr="00DF0BBE" w:rsidRDefault="00CC250E" w:rsidP="00CC250E">
      <w:pPr>
        <w:pStyle w:val="p32"/>
        <w:tabs>
          <w:tab w:val="left" w:pos="993"/>
        </w:tabs>
        <w:spacing w:before="180" w:beforeAutospacing="0" w:after="0" w:afterAutospacing="0"/>
        <w:ind w:left="1701" w:hanging="1843"/>
        <w:jc w:val="both"/>
        <w:rPr>
          <w:rStyle w:val="ft14"/>
          <w:lang w:val="es-CO"/>
        </w:rPr>
      </w:pPr>
      <w:r w:rsidRPr="00DF0BBE">
        <w:rPr>
          <w:rStyle w:val="ft14"/>
          <w:b/>
          <w:lang w:val="es-CO"/>
        </w:rPr>
        <w:t>Objetivo 2</w:t>
      </w:r>
      <w:r w:rsidR="0052493E">
        <w:rPr>
          <w:rStyle w:val="ft14"/>
          <w:b/>
          <w:lang w:val="es-CO"/>
        </w:rPr>
        <w:t>3</w:t>
      </w:r>
      <w:r w:rsidRPr="00DF0BBE">
        <w:rPr>
          <w:rStyle w:val="ft14"/>
          <w:b/>
          <w:lang w:val="es-CO"/>
        </w:rPr>
        <w:t>:</w:t>
      </w:r>
      <w:r w:rsidRPr="00DF0BBE">
        <w:rPr>
          <w:rStyle w:val="ft14"/>
          <w:lang w:val="es-CO"/>
        </w:rPr>
        <w:tab/>
        <w:t>Coordinar acciones orientadas a garantizar la privacidad, la protección de datos personales, la defensa del consumidor en línea, el acceso a la información pública y la libertad de expresión, en el entorno digital, evitando el uso indebido y no autorizado de los datos, y fortaleciendo los mecanismos de colaboración entre las autoridades competentes de la región.</w:t>
      </w:r>
    </w:p>
    <w:p w:rsidR="00724D79" w:rsidRDefault="00DF0BBE" w:rsidP="00724D79">
      <w:pPr>
        <w:pStyle w:val="p30"/>
        <w:tabs>
          <w:tab w:val="left" w:pos="993"/>
        </w:tabs>
        <w:spacing w:before="450" w:beforeAutospacing="0" w:after="0" w:afterAutospacing="0"/>
        <w:ind w:left="1276" w:hanging="1276"/>
        <w:jc w:val="center"/>
        <w:rPr>
          <w:b/>
          <w:bCs/>
          <w:lang w:val="es-CO"/>
        </w:rPr>
      </w:pPr>
      <w:r w:rsidRPr="00DF0BBE">
        <w:rPr>
          <w:b/>
          <w:bCs/>
          <w:lang w:val="es-CO"/>
        </w:rPr>
        <w:t>7</w:t>
      </w:r>
      <w:r w:rsidR="00D429CA" w:rsidRPr="00DF0BBE">
        <w:rPr>
          <w:b/>
          <w:bCs/>
          <w:lang w:val="es-CO"/>
        </w:rPr>
        <w:t>. Mercado digital regional</w:t>
      </w:r>
    </w:p>
    <w:p w:rsidR="00D429CA" w:rsidRPr="00724D79" w:rsidRDefault="00D429CA" w:rsidP="00724D79">
      <w:pPr>
        <w:pStyle w:val="p32"/>
        <w:tabs>
          <w:tab w:val="left" w:pos="993"/>
        </w:tabs>
        <w:spacing w:before="180" w:beforeAutospacing="0" w:after="0" w:afterAutospacing="0"/>
        <w:ind w:left="1701" w:hanging="1843"/>
        <w:jc w:val="both"/>
        <w:rPr>
          <w:rStyle w:val="ft14"/>
          <w:b/>
          <w:lang w:val="es-CO"/>
        </w:rPr>
      </w:pPr>
      <w:r w:rsidRPr="00724D79">
        <w:rPr>
          <w:rStyle w:val="ft14"/>
          <w:b/>
          <w:lang w:val="es-CO"/>
        </w:rPr>
        <w:t xml:space="preserve">Objetivo </w:t>
      </w:r>
      <w:r w:rsidR="00DF0BBE" w:rsidRPr="00724D79">
        <w:rPr>
          <w:rStyle w:val="ft14"/>
          <w:b/>
          <w:lang w:val="es-CO"/>
        </w:rPr>
        <w:t>2</w:t>
      </w:r>
      <w:r w:rsidR="0052493E">
        <w:rPr>
          <w:rStyle w:val="ft14"/>
          <w:b/>
          <w:lang w:val="es-CO"/>
        </w:rPr>
        <w:t>4</w:t>
      </w:r>
      <w:r w:rsidRPr="00724D79">
        <w:rPr>
          <w:rStyle w:val="ft14"/>
          <w:b/>
          <w:lang w:val="es-CO"/>
        </w:rPr>
        <w:t>: </w:t>
      </w:r>
      <w:r w:rsidRPr="00724D79">
        <w:rPr>
          <w:rStyle w:val="ft14"/>
          <w:b/>
          <w:lang w:val="es-CO"/>
        </w:rPr>
        <w:tab/>
      </w:r>
      <w:r w:rsidRPr="00724D79">
        <w:rPr>
          <w:rStyle w:val="ft14"/>
          <w:lang w:val="es-CO"/>
        </w:rPr>
        <w:t>Promover una estrategia de mercado digital regional que facilite el comercio electrónico transfronterizo mediante la integración de la infraestructura digital, la coherencia normativa, el libre flujo de datos, la facilitación del comercio</w:t>
      </w:r>
      <w:r w:rsidR="0015658D">
        <w:rPr>
          <w:rStyle w:val="ft14"/>
          <w:lang w:val="es-CO"/>
        </w:rPr>
        <w:t xml:space="preserve"> digital</w:t>
      </w:r>
      <w:r w:rsidRPr="00724D79">
        <w:rPr>
          <w:rStyle w:val="ft14"/>
          <w:lang w:val="es-CO"/>
        </w:rPr>
        <w:t>, la mejora de los servicios postales y de logística y la promoción de regulaciones que promuevan la innovación en los servicios de pagos digitales.</w:t>
      </w:r>
      <w:r w:rsidRPr="00724D79">
        <w:rPr>
          <w:rStyle w:val="ft14"/>
          <w:b/>
          <w:lang w:val="es-CO"/>
        </w:rPr>
        <w:t xml:space="preserve"> </w:t>
      </w:r>
    </w:p>
    <w:p w:rsidR="00D429CA" w:rsidRPr="00724D79" w:rsidRDefault="00D429CA" w:rsidP="00724D79">
      <w:pPr>
        <w:pStyle w:val="p32"/>
        <w:tabs>
          <w:tab w:val="left" w:pos="993"/>
        </w:tabs>
        <w:spacing w:before="180" w:beforeAutospacing="0" w:after="0" w:afterAutospacing="0"/>
        <w:ind w:left="1701" w:hanging="1843"/>
        <w:jc w:val="both"/>
        <w:rPr>
          <w:rStyle w:val="ft14"/>
          <w:b/>
          <w:lang w:val="es-CO"/>
        </w:rPr>
      </w:pPr>
      <w:r w:rsidRPr="00724D79">
        <w:rPr>
          <w:rStyle w:val="ft14"/>
          <w:b/>
          <w:lang w:val="es-CO"/>
        </w:rPr>
        <w:t xml:space="preserve">Objetivo </w:t>
      </w:r>
      <w:r w:rsidR="00DF0BBE" w:rsidRPr="00724D79">
        <w:rPr>
          <w:rStyle w:val="ft14"/>
          <w:b/>
          <w:lang w:val="es-CO"/>
        </w:rPr>
        <w:t>2</w:t>
      </w:r>
      <w:r w:rsidR="0052493E">
        <w:rPr>
          <w:rStyle w:val="ft14"/>
          <w:b/>
          <w:lang w:val="es-CO"/>
        </w:rPr>
        <w:t>5</w:t>
      </w:r>
      <w:r w:rsidRPr="00724D79">
        <w:rPr>
          <w:rStyle w:val="ft14"/>
          <w:b/>
          <w:lang w:val="es-CO"/>
        </w:rPr>
        <w:t>:</w:t>
      </w:r>
      <w:r w:rsidRPr="00724D79">
        <w:rPr>
          <w:rStyle w:val="ft14"/>
          <w:b/>
          <w:lang w:val="es-CO"/>
        </w:rPr>
        <w:tab/>
      </w:r>
      <w:r w:rsidRPr="00724D79">
        <w:rPr>
          <w:rStyle w:val="ft14"/>
          <w:lang w:val="es-CO"/>
        </w:rPr>
        <w:t xml:space="preserve">Facilitar una mayor coordinación regional mediante un plan de integración digital que establezca una visión y objetivos comunes, con mecanismos de diálogo y coordinación con las organizaciones </w:t>
      </w:r>
      <w:r w:rsidR="00CB4AE3" w:rsidRPr="00724D79">
        <w:rPr>
          <w:rStyle w:val="ft14"/>
          <w:lang w:val="es-CO"/>
        </w:rPr>
        <w:t xml:space="preserve">regionales y </w:t>
      </w:r>
      <w:r w:rsidRPr="00724D79">
        <w:rPr>
          <w:rStyle w:val="ft14"/>
          <w:lang w:val="es-CO"/>
        </w:rPr>
        <w:t>subregionales existentes</w:t>
      </w:r>
      <w:r w:rsidR="00CB4AE3" w:rsidRPr="00724D79">
        <w:rPr>
          <w:rStyle w:val="ft14"/>
          <w:lang w:val="es-CO"/>
        </w:rPr>
        <w:t>.</w:t>
      </w:r>
    </w:p>
    <w:p w:rsidR="00EA7891" w:rsidRDefault="00EA7891" w:rsidP="00B10B1E">
      <w:pPr>
        <w:pStyle w:val="p30"/>
        <w:tabs>
          <w:tab w:val="left" w:pos="993"/>
        </w:tabs>
        <w:spacing w:before="450" w:beforeAutospacing="0" w:after="0" w:afterAutospacing="0"/>
        <w:ind w:left="1276" w:hanging="1276"/>
        <w:jc w:val="center"/>
        <w:rPr>
          <w:b/>
          <w:bCs/>
          <w:lang w:val="es-CO"/>
        </w:rPr>
      </w:pPr>
    </w:p>
    <w:p w:rsidR="00B71995" w:rsidRPr="00DF0BBE" w:rsidRDefault="00DF0BBE" w:rsidP="00B10B1E">
      <w:pPr>
        <w:pStyle w:val="p30"/>
        <w:tabs>
          <w:tab w:val="left" w:pos="993"/>
        </w:tabs>
        <w:spacing w:before="450" w:beforeAutospacing="0" w:after="0" w:afterAutospacing="0"/>
        <w:ind w:left="1276" w:hanging="1276"/>
        <w:jc w:val="center"/>
        <w:rPr>
          <w:b/>
          <w:bCs/>
          <w:lang w:val="es-CO"/>
        </w:rPr>
      </w:pPr>
      <w:bookmarkStart w:id="0" w:name="_GoBack"/>
      <w:bookmarkEnd w:id="0"/>
      <w:r w:rsidRPr="00DF0BBE">
        <w:rPr>
          <w:b/>
          <w:bCs/>
          <w:lang w:val="es-CO"/>
        </w:rPr>
        <w:lastRenderedPageBreak/>
        <w:t xml:space="preserve">8. </w:t>
      </w:r>
      <w:r w:rsidR="006E02F1" w:rsidRPr="00DF0BBE">
        <w:rPr>
          <w:b/>
          <w:bCs/>
          <w:lang w:val="es-CO"/>
        </w:rPr>
        <w:t>C</w:t>
      </w:r>
      <w:r w:rsidR="00B71995" w:rsidRPr="00DF0BBE">
        <w:rPr>
          <w:b/>
          <w:bCs/>
          <w:lang w:val="es-CO"/>
        </w:rPr>
        <w:t>ooperación regional digital</w:t>
      </w:r>
    </w:p>
    <w:p w:rsidR="00256A44" w:rsidRPr="00DF0BBE" w:rsidRDefault="00256A44" w:rsidP="00256A44">
      <w:pPr>
        <w:pStyle w:val="p32"/>
        <w:tabs>
          <w:tab w:val="left" w:pos="993"/>
        </w:tabs>
        <w:spacing w:before="180" w:beforeAutospacing="0" w:after="0" w:afterAutospacing="0"/>
        <w:ind w:left="1701" w:hanging="1843"/>
        <w:jc w:val="both"/>
        <w:rPr>
          <w:rStyle w:val="ft14"/>
          <w:lang w:val="es-CO"/>
        </w:rPr>
      </w:pPr>
      <w:r w:rsidRPr="00DF0BBE">
        <w:rPr>
          <w:rStyle w:val="ft14"/>
          <w:b/>
          <w:lang w:val="es-CO"/>
        </w:rPr>
        <w:t>Objetivo 2</w:t>
      </w:r>
      <w:r w:rsidR="0052493E">
        <w:rPr>
          <w:rStyle w:val="ft14"/>
          <w:b/>
          <w:lang w:val="es-CO"/>
        </w:rPr>
        <w:t>6</w:t>
      </w:r>
      <w:r w:rsidRPr="00DF0BBE">
        <w:rPr>
          <w:rStyle w:val="ft14"/>
          <w:b/>
          <w:lang w:val="es-CO"/>
        </w:rPr>
        <w:t>:</w:t>
      </w:r>
      <w:r w:rsidRPr="00DF0BBE">
        <w:rPr>
          <w:rStyle w:val="ft14"/>
          <w:lang w:val="es-CO"/>
        </w:rPr>
        <w:t> </w:t>
      </w:r>
      <w:r w:rsidRPr="00DF0BBE">
        <w:rPr>
          <w:rStyle w:val="ft14"/>
          <w:lang w:val="es-CO"/>
        </w:rPr>
        <w:tab/>
        <w:t xml:space="preserve">Promover </w:t>
      </w:r>
      <w:r w:rsidR="00896133" w:rsidRPr="00DF0BBE">
        <w:rPr>
          <w:rStyle w:val="ft14"/>
          <w:lang w:val="es-CO"/>
        </w:rPr>
        <w:t xml:space="preserve">una cooperación regional digital fortalecida en </w:t>
      </w:r>
      <w:r w:rsidRPr="00DF0BBE">
        <w:rPr>
          <w:rStyle w:val="ft14"/>
          <w:lang w:val="es-CO"/>
        </w:rPr>
        <w:t>los procesos de gobernanza de Internet, reforzando los mecanismos regionales</w:t>
      </w:r>
      <w:r w:rsidR="00896133" w:rsidRPr="00DF0BBE">
        <w:rPr>
          <w:rStyle w:val="ft14"/>
          <w:lang w:val="es-CO"/>
        </w:rPr>
        <w:t xml:space="preserve"> de diálogo</w:t>
      </w:r>
      <w:r w:rsidRPr="00DF0BBE">
        <w:rPr>
          <w:rStyle w:val="ft14"/>
          <w:lang w:val="es-CO"/>
        </w:rPr>
        <w:t xml:space="preserve"> y </w:t>
      </w:r>
      <w:r w:rsidR="00896133" w:rsidRPr="00DF0BBE">
        <w:rPr>
          <w:rStyle w:val="ft14"/>
          <w:lang w:val="es-CO"/>
        </w:rPr>
        <w:t xml:space="preserve">los </w:t>
      </w:r>
      <w:r w:rsidRPr="00DF0BBE">
        <w:rPr>
          <w:rStyle w:val="ft14"/>
          <w:lang w:val="es-CO"/>
        </w:rPr>
        <w:t>mecanismos de múltiples partes interesadas.</w:t>
      </w:r>
    </w:p>
    <w:p w:rsidR="00CC250E" w:rsidRPr="00DF0BBE" w:rsidRDefault="00CC250E" w:rsidP="00CC250E">
      <w:pPr>
        <w:pStyle w:val="p32"/>
        <w:tabs>
          <w:tab w:val="left" w:pos="993"/>
        </w:tabs>
        <w:spacing w:before="180" w:beforeAutospacing="0" w:after="0" w:afterAutospacing="0"/>
        <w:ind w:left="1701" w:hanging="1843"/>
        <w:jc w:val="both"/>
        <w:rPr>
          <w:rStyle w:val="ft14"/>
          <w:lang w:val="es-CO"/>
        </w:rPr>
      </w:pPr>
      <w:r w:rsidRPr="00DF0BBE">
        <w:rPr>
          <w:rStyle w:val="ft14"/>
          <w:b/>
          <w:lang w:val="es-CO"/>
        </w:rPr>
        <w:t>Objetivo 2</w:t>
      </w:r>
      <w:r w:rsidR="0052493E">
        <w:rPr>
          <w:rStyle w:val="ft14"/>
          <w:b/>
          <w:lang w:val="es-CO"/>
        </w:rPr>
        <w:t>7</w:t>
      </w:r>
      <w:r w:rsidRPr="00DF0BBE">
        <w:rPr>
          <w:rStyle w:val="ft14"/>
          <w:b/>
          <w:lang w:val="es-CO"/>
        </w:rPr>
        <w:t>:</w:t>
      </w:r>
      <w:r w:rsidRPr="00DF0BBE">
        <w:rPr>
          <w:rStyle w:val="ft14"/>
          <w:lang w:val="es-CO"/>
        </w:rPr>
        <w:tab/>
        <w:t>Fortalecer la institucionalidad de las entidades responsables de diseñar, implementar, dar seguimiento y continuidad a las políticas públicas de transformación digital y las agendas digitales nacionales, y promover la articulación y participación de las distintas partes interesadas en el desarrollo de estas políticas.</w:t>
      </w:r>
    </w:p>
    <w:p w:rsidR="00896133" w:rsidRPr="00DF0BBE" w:rsidRDefault="00256A44" w:rsidP="00256A44">
      <w:pPr>
        <w:pStyle w:val="p32"/>
        <w:tabs>
          <w:tab w:val="left" w:pos="993"/>
        </w:tabs>
        <w:spacing w:before="180" w:beforeAutospacing="0" w:after="0" w:afterAutospacing="0"/>
        <w:ind w:left="1701" w:hanging="1843"/>
        <w:jc w:val="both"/>
        <w:rPr>
          <w:rStyle w:val="ft14"/>
          <w:lang w:val="es-CO"/>
        </w:rPr>
      </w:pPr>
      <w:r w:rsidRPr="00DF0BBE">
        <w:rPr>
          <w:rStyle w:val="ft14"/>
          <w:b/>
          <w:lang w:val="es-CO"/>
        </w:rPr>
        <w:t>Objetivo 2</w:t>
      </w:r>
      <w:r w:rsidR="0052493E">
        <w:rPr>
          <w:rStyle w:val="ft14"/>
          <w:b/>
          <w:lang w:val="es-CO"/>
        </w:rPr>
        <w:t>8</w:t>
      </w:r>
      <w:r w:rsidRPr="00DF0BBE">
        <w:rPr>
          <w:rStyle w:val="ft14"/>
          <w:b/>
          <w:lang w:val="es-CO"/>
        </w:rPr>
        <w:t>:</w:t>
      </w:r>
      <w:r w:rsidRPr="00DF0BBE">
        <w:rPr>
          <w:rStyle w:val="ft14"/>
          <w:lang w:val="es-CO"/>
        </w:rPr>
        <w:t> </w:t>
      </w:r>
      <w:r w:rsidRPr="00DF0BBE">
        <w:rPr>
          <w:rStyle w:val="ft14"/>
          <w:lang w:val="es-CO"/>
        </w:rPr>
        <w:tab/>
        <w:t>Promover la coherencia normativa</w:t>
      </w:r>
      <w:r w:rsidR="00974AC2" w:rsidRPr="00DF0BBE">
        <w:rPr>
          <w:rStyle w:val="ft14"/>
          <w:lang w:val="es-CO"/>
        </w:rPr>
        <w:t xml:space="preserve"> digital a nivel regional, especialmente en materia de protección de datos, ciberseguridad, comercio electrónico y defensa del consumidor en línea. </w:t>
      </w:r>
    </w:p>
    <w:p w:rsidR="0094093F" w:rsidRPr="0094093F" w:rsidRDefault="00256A44" w:rsidP="000A50A6">
      <w:pPr>
        <w:pStyle w:val="p32"/>
        <w:tabs>
          <w:tab w:val="left" w:pos="993"/>
        </w:tabs>
        <w:spacing w:before="180" w:beforeAutospacing="0" w:after="0" w:afterAutospacing="0"/>
        <w:ind w:left="1701" w:hanging="1843"/>
        <w:jc w:val="both"/>
        <w:rPr>
          <w:lang w:val="es-CO"/>
        </w:rPr>
      </w:pPr>
      <w:r w:rsidRPr="00DF0BBE">
        <w:rPr>
          <w:rStyle w:val="ft14"/>
          <w:b/>
          <w:lang w:val="es-CO"/>
        </w:rPr>
        <w:t>Objetivo 2</w:t>
      </w:r>
      <w:r w:rsidR="0052493E">
        <w:rPr>
          <w:rStyle w:val="ft14"/>
          <w:b/>
          <w:lang w:val="es-CO"/>
        </w:rPr>
        <w:t>9</w:t>
      </w:r>
      <w:r w:rsidRPr="00DF0BBE">
        <w:rPr>
          <w:rStyle w:val="ft14"/>
          <w:b/>
          <w:lang w:val="es-CO"/>
        </w:rPr>
        <w:t>:</w:t>
      </w:r>
      <w:r w:rsidRPr="00DF0BBE">
        <w:rPr>
          <w:rStyle w:val="ft14"/>
          <w:lang w:val="es-CO"/>
        </w:rPr>
        <w:t xml:space="preserve"> </w:t>
      </w:r>
      <w:r w:rsidRPr="00DF0BBE">
        <w:rPr>
          <w:rStyle w:val="ft14"/>
          <w:lang w:val="es-CO"/>
        </w:rPr>
        <w:tab/>
        <w:t>Mejorar la medición de la transformación digital y la economía digital reforzando los procesos de recolección de datos para las estadísticas oficiales que incluya el uso de tecnologías avanzadas y el fortalecimiento y armonización de marcos comunes de</w:t>
      </w:r>
      <w:r w:rsidRPr="00DF0BBE">
        <w:rPr>
          <w:lang w:val="es-CO"/>
        </w:rPr>
        <w:t xml:space="preserve"> indicadores y su monitoreo a través de observatorios regionales.</w:t>
      </w:r>
    </w:p>
    <w:sectPr w:rsidR="0094093F" w:rsidRPr="0094093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32" w:rsidRDefault="001B5B32" w:rsidP="00B10B1E">
      <w:pPr>
        <w:spacing w:after="0" w:line="240" w:lineRule="auto"/>
      </w:pPr>
      <w:r>
        <w:separator/>
      </w:r>
    </w:p>
  </w:endnote>
  <w:endnote w:type="continuationSeparator" w:id="0">
    <w:p w:rsidR="001B5B32" w:rsidRDefault="001B5B32" w:rsidP="00B1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ston Bold">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32" w:rsidRDefault="001B5B32" w:rsidP="00B10B1E">
      <w:pPr>
        <w:spacing w:after="0" w:line="240" w:lineRule="auto"/>
      </w:pPr>
      <w:r>
        <w:separator/>
      </w:r>
    </w:p>
  </w:footnote>
  <w:footnote w:type="continuationSeparator" w:id="0">
    <w:p w:rsidR="001B5B32" w:rsidRDefault="001B5B32" w:rsidP="00B10B1E">
      <w:pPr>
        <w:spacing w:after="0" w:line="240" w:lineRule="auto"/>
      </w:pPr>
      <w:r>
        <w:continuationSeparator/>
      </w:r>
    </w:p>
  </w:footnote>
  <w:footnote w:id="1">
    <w:p w:rsidR="00B10B1E" w:rsidRPr="00B10B1E" w:rsidRDefault="00B10B1E">
      <w:pPr>
        <w:pStyle w:val="FootnoteText"/>
        <w:rPr>
          <w:rFonts w:ascii="Times New Roman" w:hAnsi="Times New Roman" w:cs="Times New Roman"/>
          <w:lang w:val="es-CO"/>
        </w:rPr>
      </w:pPr>
      <w:r w:rsidRPr="00B10B1E">
        <w:rPr>
          <w:rStyle w:val="FootnoteReference"/>
          <w:rFonts w:ascii="Times New Roman" w:hAnsi="Times New Roman" w:cs="Times New Roman"/>
        </w:rPr>
        <w:footnoteRef/>
      </w:r>
      <w:r w:rsidRPr="00B10B1E">
        <w:rPr>
          <w:rFonts w:ascii="Times New Roman" w:hAnsi="Times New Roman" w:cs="Times New Roman"/>
          <w:lang w:val="es-CO"/>
        </w:rPr>
        <w:t xml:space="preserve"> </w:t>
      </w:r>
      <w:r w:rsidRPr="00B10B1E">
        <w:rPr>
          <w:rFonts w:ascii="Times New Roman" w:hAnsi="Times New Roman" w:cs="Times New Roman"/>
          <w:sz w:val="16"/>
          <w:szCs w:val="16"/>
          <w:lang w:val="es-CO"/>
        </w:rPr>
        <w:t>Resolución 70/1 de la Asamblea General del 25 de septiembre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242137"/>
      <w:docPartObj>
        <w:docPartGallery w:val="Watermarks"/>
        <w:docPartUnique/>
      </w:docPartObj>
    </w:sdtPr>
    <w:sdtEndPr/>
    <w:sdtContent>
      <w:p w:rsidR="006363CD" w:rsidRDefault="001B5B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20793"/>
    <w:multiLevelType w:val="hybridMultilevel"/>
    <w:tmpl w:val="83A4AB3E"/>
    <w:lvl w:ilvl="0" w:tplc="DD14E47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3F"/>
    <w:rsid w:val="00051B4F"/>
    <w:rsid w:val="0005797D"/>
    <w:rsid w:val="000A50A6"/>
    <w:rsid w:val="000B1DA5"/>
    <w:rsid w:val="000C421E"/>
    <w:rsid w:val="00125876"/>
    <w:rsid w:val="0015658D"/>
    <w:rsid w:val="001B5B32"/>
    <w:rsid w:val="001C5997"/>
    <w:rsid w:val="001F33E9"/>
    <w:rsid w:val="002231BC"/>
    <w:rsid w:val="00256A44"/>
    <w:rsid w:val="002975F8"/>
    <w:rsid w:val="002D42C9"/>
    <w:rsid w:val="00326E7D"/>
    <w:rsid w:val="003678CB"/>
    <w:rsid w:val="003B5A53"/>
    <w:rsid w:val="003E0F9D"/>
    <w:rsid w:val="0052493E"/>
    <w:rsid w:val="00595331"/>
    <w:rsid w:val="005E009D"/>
    <w:rsid w:val="00614B34"/>
    <w:rsid w:val="00622585"/>
    <w:rsid w:val="00624541"/>
    <w:rsid w:val="0062622C"/>
    <w:rsid w:val="006363CD"/>
    <w:rsid w:val="006E02F1"/>
    <w:rsid w:val="006E4DB3"/>
    <w:rsid w:val="00710BF6"/>
    <w:rsid w:val="00724D79"/>
    <w:rsid w:val="007A1CF9"/>
    <w:rsid w:val="007A264D"/>
    <w:rsid w:val="0083002D"/>
    <w:rsid w:val="008332DC"/>
    <w:rsid w:val="00833834"/>
    <w:rsid w:val="008671B3"/>
    <w:rsid w:val="0088059B"/>
    <w:rsid w:val="00880E91"/>
    <w:rsid w:val="00896133"/>
    <w:rsid w:val="008B6A55"/>
    <w:rsid w:val="00906A37"/>
    <w:rsid w:val="0094093F"/>
    <w:rsid w:val="009646C5"/>
    <w:rsid w:val="00974AC2"/>
    <w:rsid w:val="009B7481"/>
    <w:rsid w:val="00A65D59"/>
    <w:rsid w:val="00A842CF"/>
    <w:rsid w:val="00B10B1E"/>
    <w:rsid w:val="00B12251"/>
    <w:rsid w:val="00B169B9"/>
    <w:rsid w:val="00B20789"/>
    <w:rsid w:val="00B427AC"/>
    <w:rsid w:val="00B71995"/>
    <w:rsid w:val="00BB69A5"/>
    <w:rsid w:val="00BF08ED"/>
    <w:rsid w:val="00C36006"/>
    <w:rsid w:val="00C54E7D"/>
    <w:rsid w:val="00CB2941"/>
    <w:rsid w:val="00CB4AE3"/>
    <w:rsid w:val="00CC250E"/>
    <w:rsid w:val="00D31BAB"/>
    <w:rsid w:val="00D33F2B"/>
    <w:rsid w:val="00D429CA"/>
    <w:rsid w:val="00DA6266"/>
    <w:rsid w:val="00DA77CF"/>
    <w:rsid w:val="00DF0BBE"/>
    <w:rsid w:val="00E4356D"/>
    <w:rsid w:val="00E8498C"/>
    <w:rsid w:val="00EA7309"/>
    <w:rsid w:val="00EA7891"/>
    <w:rsid w:val="00F14D70"/>
    <w:rsid w:val="00F4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8B0C0C"/>
  <w15:chartTrackingRefBased/>
  <w15:docId w15:val="{E1EF84FF-8A6D-4D71-AC55-D319B25E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B29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5">
    <w:name w:val="p5"/>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
    <w:name w:val="ft3"/>
    <w:basedOn w:val="DefaultParagraphFont"/>
    <w:rsid w:val="0094093F"/>
  </w:style>
  <w:style w:type="character" w:customStyle="1" w:styleId="ft4">
    <w:name w:val="ft4"/>
    <w:basedOn w:val="DefaultParagraphFont"/>
    <w:rsid w:val="0094093F"/>
  </w:style>
  <w:style w:type="paragraph" w:customStyle="1" w:styleId="p7">
    <w:name w:val="p7"/>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
    <w:name w:val="ft0"/>
    <w:basedOn w:val="DefaultParagraphFont"/>
    <w:rsid w:val="0094093F"/>
  </w:style>
  <w:style w:type="character" w:customStyle="1" w:styleId="ft5">
    <w:name w:val="ft5"/>
    <w:basedOn w:val="DefaultParagraphFont"/>
    <w:rsid w:val="0094093F"/>
  </w:style>
  <w:style w:type="character" w:customStyle="1" w:styleId="ft6">
    <w:name w:val="ft6"/>
    <w:basedOn w:val="DefaultParagraphFont"/>
    <w:rsid w:val="0094093F"/>
  </w:style>
  <w:style w:type="paragraph" w:customStyle="1" w:styleId="p8">
    <w:name w:val="p8"/>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
    <w:name w:val="ft7"/>
    <w:basedOn w:val="DefaultParagraphFont"/>
    <w:rsid w:val="0094093F"/>
  </w:style>
  <w:style w:type="paragraph" w:customStyle="1" w:styleId="p9">
    <w:name w:val="p9"/>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8">
    <w:name w:val="ft8"/>
    <w:basedOn w:val="DefaultParagraphFont"/>
    <w:rsid w:val="0094093F"/>
  </w:style>
  <w:style w:type="paragraph" w:customStyle="1" w:styleId="p11">
    <w:name w:val="p11"/>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
    <w:name w:val="ft12"/>
    <w:basedOn w:val="DefaultParagraphFont"/>
    <w:rsid w:val="0094093F"/>
  </w:style>
  <w:style w:type="paragraph" w:customStyle="1" w:styleId="p14">
    <w:name w:val="p14"/>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
    <w:name w:val="ft13"/>
    <w:basedOn w:val="DefaultParagraphFont"/>
    <w:rsid w:val="0094093F"/>
  </w:style>
  <w:style w:type="paragraph" w:customStyle="1" w:styleId="p15">
    <w:name w:val="p15"/>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
    <w:name w:val="ft2"/>
    <w:basedOn w:val="DefaultParagraphFont"/>
    <w:rsid w:val="0094093F"/>
  </w:style>
  <w:style w:type="paragraph" w:customStyle="1" w:styleId="p18">
    <w:name w:val="p18"/>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DefaultParagraphFont"/>
    <w:rsid w:val="0094093F"/>
  </w:style>
  <w:style w:type="paragraph" w:customStyle="1" w:styleId="p19">
    <w:name w:val="p19"/>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5">
    <w:name w:val="ft15"/>
    <w:basedOn w:val="DefaultParagraphFont"/>
    <w:rsid w:val="0094093F"/>
  </w:style>
  <w:style w:type="paragraph" w:customStyle="1" w:styleId="p22">
    <w:name w:val="p22"/>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7">
    <w:name w:val="ft17"/>
    <w:basedOn w:val="DefaultParagraphFont"/>
    <w:rsid w:val="0094093F"/>
  </w:style>
  <w:style w:type="paragraph" w:customStyle="1" w:styleId="p28">
    <w:name w:val="p28"/>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DefaultParagraphFont"/>
    <w:rsid w:val="0094093F"/>
  </w:style>
  <w:style w:type="paragraph" w:customStyle="1" w:styleId="p38">
    <w:name w:val="p38"/>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0">
    <w:name w:val="ft20"/>
    <w:basedOn w:val="DefaultParagraphFont"/>
    <w:rsid w:val="0094093F"/>
  </w:style>
  <w:style w:type="paragraph" w:customStyle="1" w:styleId="p39">
    <w:name w:val="p39"/>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Normal"/>
    <w:rsid w:val="009409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6133"/>
    <w:pPr>
      <w:spacing w:after="200" w:line="276" w:lineRule="auto"/>
      <w:ind w:left="720"/>
      <w:contextualSpacing/>
    </w:pPr>
  </w:style>
  <w:style w:type="character" w:customStyle="1" w:styleId="Heading1Char">
    <w:name w:val="Heading 1 Char"/>
    <w:basedOn w:val="DefaultParagraphFont"/>
    <w:link w:val="Heading1"/>
    <w:uiPriority w:val="9"/>
    <w:rsid w:val="00CB2941"/>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B10B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B1E"/>
    <w:rPr>
      <w:sz w:val="20"/>
      <w:szCs w:val="20"/>
    </w:rPr>
  </w:style>
  <w:style w:type="character" w:styleId="FootnoteReference">
    <w:name w:val="footnote reference"/>
    <w:basedOn w:val="DefaultParagraphFont"/>
    <w:uiPriority w:val="99"/>
    <w:semiHidden/>
    <w:unhideWhenUsed/>
    <w:rsid w:val="00B10B1E"/>
    <w:rPr>
      <w:vertAlign w:val="superscript"/>
    </w:rPr>
  </w:style>
  <w:style w:type="paragraph" w:styleId="Header">
    <w:name w:val="header"/>
    <w:basedOn w:val="Normal"/>
    <w:link w:val="HeaderChar"/>
    <w:uiPriority w:val="99"/>
    <w:unhideWhenUsed/>
    <w:rsid w:val="00636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3CD"/>
  </w:style>
  <w:style w:type="paragraph" w:styleId="Footer">
    <w:name w:val="footer"/>
    <w:basedOn w:val="Normal"/>
    <w:link w:val="FooterChar"/>
    <w:uiPriority w:val="99"/>
    <w:unhideWhenUsed/>
    <w:rsid w:val="00636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3CD"/>
  </w:style>
  <w:style w:type="paragraph" w:styleId="BalloonText">
    <w:name w:val="Balloon Text"/>
    <w:basedOn w:val="Normal"/>
    <w:link w:val="BalloonTextChar"/>
    <w:uiPriority w:val="99"/>
    <w:semiHidden/>
    <w:unhideWhenUsed/>
    <w:rsid w:val="00964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66072">
      <w:bodyDiv w:val="1"/>
      <w:marLeft w:val="0"/>
      <w:marRight w:val="0"/>
      <w:marTop w:val="0"/>
      <w:marBottom w:val="0"/>
      <w:divBdr>
        <w:top w:val="none" w:sz="0" w:space="0" w:color="auto"/>
        <w:left w:val="none" w:sz="0" w:space="0" w:color="auto"/>
        <w:bottom w:val="none" w:sz="0" w:space="0" w:color="auto"/>
        <w:right w:val="none" w:sz="0" w:space="0" w:color="auto"/>
      </w:divBdr>
      <w:divsChild>
        <w:div w:id="1937251567">
          <w:marLeft w:val="1440"/>
          <w:marRight w:val="0"/>
          <w:marTop w:val="1125"/>
          <w:marBottom w:val="1410"/>
          <w:divBdr>
            <w:top w:val="none" w:sz="0" w:space="0" w:color="auto"/>
            <w:left w:val="none" w:sz="0" w:space="0" w:color="auto"/>
            <w:bottom w:val="none" w:sz="0" w:space="0" w:color="auto"/>
            <w:right w:val="none" w:sz="0" w:space="0" w:color="auto"/>
          </w:divBdr>
          <w:divsChild>
            <w:div w:id="125123546">
              <w:marLeft w:val="0"/>
              <w:marRight w:val="0"/>
              <w:marTop w:val="0"/>
              <w:marBottom w:val="0"/>
              <w:divBdr>
                <w:top w:val="none" w:sz="0" w:space="0" w:color="auto"/>
                <w:left w:val="none" w:sz="0" w:space="0" w:color="auto"/>
                <w:bottom w:val="none" w:sz="0" w:space="0" w:color="auto"/>
                <w:right w:val="none" w:sz="0" w:space="0" w:color="auto"/>
              </w:divBdr>
            </w:div>
            <w:div w:id="971903264">
              <w:marLeft w:val="0"/>
              <w:marRight w:val="0"/>
              <w:marTop w:val="585"/>
              <w:marBottom w:val="0"/>
              <w:divBdr>
                <w:top w:val="none" w:sz="0" w:space="0" w:color="auto"/>
                <w:left w:val="none" w:sz="0" w:space="0" w:color="auto"/>
                <w:bottom w:val="none" w:sz="0" w:space="0" w:color="auto"/>
                <w:right w:val="none" w:sz="0" w:space="0" w:color="auto"/>
              </w:divBdr>
              <w:divsChild>
                <w:div w:id="770856401">
                  <w:marLeft w:val="0"/>
                  <w:marRight w:val="0"/>
                  <w:marTop w:val="0"/>
                  <w:marBottom w:val="0"/>
                  <w:divBdr>
                    <w:top w:val="none" w:sz="0" w:space="0" w:color="auto"/>
                    <w:left w:val="none" w:sz="0" w:space="0" w:color="auto"/>
                    <w:bottom w:val="none" w:sz="0" w:space="0" w:color="auto"/>
                    <w:right w:val="none" w:sz="0" w:space="0" w:color="auto"/>
                  </w:divBdr>
                </w:div>
                <w:div w:id="15688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7978">
          <w:marLeft w:val="1440"/>
          <w:marRight w:val="0"/>
          <w:marTop w:val="1125"/>
          <w:marBottom w:val="3240"/>
          <w:divBdr>
            <w:top w:val="none" w:sz="0" w:space="0" w:color="auto"/>
            <w:left w:val="none" w:sz="0" w:space="0" w:color="auto"/>
            <w:bottom w:val="none" w:sz="0" w:space="0" w:color="auto"/>
            <w:right w:val="none" w:sz="0" w:space="0" w:color="auto"/>
          </w:divBdr>
        </w:div>
        <w:div w:id="2112427429">
          <w:marLeft w:val="1455"/>
          <w:marRight w:val="0"/>
          <w:marTop w:val="1125"/>
          <w:marBottom w:val="1980"/>
          <w:divBdr>
            <w:top w:val="none" w:sz="0" w:space="0" w:color="auto"/>
            <w:left w:val="none" w:sz="0" w:space="0" w:color="auto"/>
            <w:bottom w:val="none" w:sz="0" w:space="0" w:color="auto"/>
            <w:right w:val="none" w:sz="0" w:space="0" w:color="auto"/>
          </w:divBdr>
        </w:div>
        <w:div w:id="1584218807">
          <w:marLeft w:val="1455"/>
          <w:marRight w:val="0"/>
          <w:marTop w:val="1125"/>
          <w:marBottom w:val="1770"/>
          <w:divBdr>
            <w:top w:val="none" w:sz="0" w:space="0" w:color="auto"/>
            <w:left w:val="none" w:sz="0" w:space="0" w:color="auto"/>
            <w:bottom w:val="none" w:sz="0" w:space="0" w:color="auto"/>
            <w:right w:val="none" w:sz="0" w:space="0" w:color="auto"/>
          </w:divBdr>
        </w:div>
        <w:div w:id="64305039">
          <w:marLeft w:val="1440"/>
          <w:marRight w:val="0"/>
          <w:marTop w:val="1125"/>
          <w:marBottom w:val="70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Res15</b:Tag>
    <b:SourceType>ElectronicSource</b:SourceType>
    <b:Guid>{3359FBD4-A7BE-408E-85A0-92EFFEFFFB6A}</b:Guid>
    <b:Title>Resolución aprobada por la Asamblea General el 25 de septiembre de 2015, transformando nuestro mundo: la Agenda 2030 para el Desarrollo Sostenible</b:Title>
    <b:Year>2015</b:Year>
    <b:ConferenceName>Naciones Unidas</b:ConferenceName>
    <b:City>Nueva York</b:City>
    <b:Publisher>Naciones Unidas</b:Publisher>
    <b:Author>
      <b:Author>
        <b:Corporate>Naciones Unidas</b:Corporate>
      </b:Author>
    </b:Author>
    <b:RefOrder>10</b:RefOrder>
  </b:Source>
</b:Sources>
</file>

<file path=customXml/itemProps1.xml><?xml version="1.0" encoding="utf-8"?>
<ds:datastoreItem xmlns:ds="http://schemas.openxmlformats.org/officeDocument/2006/customXml" ds:itemID="{B9E2D417-1BC1-4F3B-9ECE-F2DD89CD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5</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Patino</dc:creator>
  <cp:keywords/>
  <dc:description/>
  <cp:lastModifiedBy>Julio PARRA</cp:lastModifiedBy>
  <cp:revision>27</cp:revision>
  <cp:lastPrinted>2019-06-21T13:53:00Z</cp:lastPrinted>
  <dcterms:created xsi:type="dcterms:W3CDTF">2019-06-14T18:17:00Z</dcterms:created>
  <dcterms:modified xsi:type="dcterms:W3CDTF">2019-07-02T15:10:00Z</dcterms:modified>
</cp:coreProperties>
</file>