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0493" w:rsidRDefault="00CA0493" w:rsidP="00CA0493">
      <w:pPr>
        <w:pStyle w:val="paragraph"/>
        <w:spacing w:before="0" w:beforeAutospacing="0" w:after="0" w:afterAutospacing="0"/>
        <w:textAlignment w:val="baseline"/>
        <w:rPr>
          <w:rStyle w:val="eop"/>
          <w:rFonts w:ascii="Calibri" w:hAnsi="Calibri" w:cs="Calibri"/>
          <w:sz w:val="20"/>
          <w:szCs w:val="20"/>
        </w:rPr>
      </w:pPr>
      <w:bookmarkStart w:id="0" w:name="_GoBack"/>
      <w:r w:rsidRPr="00CA0493">
        <w:rPr>
          <w:rStyle w:val="normaltextrun"/>
          <w:rFonts w:ascii="Calibri" w:hAnsi="Calibri" w:cs="Calibri"/>
          <w:b/>
          <w:bCs/>
          <w:sz w:val="20"/>
          <w:szCs w:val="20"/>
          <w:lang w:val="es-MX"/>
        </w:rPr>
        <w:t>Consultas sobre el coeficiente de homogeneidad en ISIC Rev.5</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textAlignment w:val="baseline"/>
        <w:rPr>
          <w:rFonts w:ascii="Calibri" w:hAnsi="Calibri" w:cs="Calibri"/>
          <w:sz w:val="20"/>
          <w:szCs w:val="20"/>
        </w:rPr>
      </w:pPr>
    </w:p>
    <w:p w:rsidR="00CA0493" w:rsidRDefault="00CA0493" w:rsidP="00CA0493">
      <w:pPr>
        <w:pStyle w:val="paragraph"/>
        <w:spacing w:before="0" w:beforeAutospacing="0" w:after="0" w:afterAutospacing="0"/>
        <w:textAlignment w:val="baseline"/>
        <w:rPr>
          <w:rStyle w:val="eop"/>
          <w:rFonts w:ascii="Calibri" w:hAnsi="Calibri" w:cs="Calibri"/>
          <w:sz w:val="20"/>
          <w:szCs w:val="20"/>
        </w:rPr>
      </w:pPr>
      <w:r w:rsidRPr="00CA0493">
        <w:rPr>
          <w:rStyle w:val="normaltextrun"/>
          <w:rFonts w:ascii="Calibri" w:hAnsi="Calibri" w:cs="Calibri"/>
          <w:i/>
          <w:iCs/>
          <w:sz w:val="20"/>
          <w:szCs w:val="20"/>
          <w:lang w:val="es-MX"/>
        </w:rPr>
        <w:t>Contexto y aspectos generales de la consulta</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textAlignment w:val="baseline"/>
        <w:rPr>
          <w:rFonts w:ascii="Calibri" w:hAnsi="Calibri" w:cs="Calibri"/>
          <w:sz w:val="20"/>
          <w:szCs w:val="20"/>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lang w:val="es-MX"/>
        </w:rPr>
        <w:t>Se realizan una serie de consultas a </w:t>
      </w:r>
      <w:proofErr w:type="spellStart"/>
      <w:r w:rsidRPr="00CA0493">
        <w:rPr>
          <w:rStyle w:val="normaltextrun"/>
          <w:rFonts w:ascii="Calibri" w:hAnsi="Calibri" w:cs="Calibri"/>
          <w:sz w:val="20"/>
          <w:szCs w:val="20"/>
          <w:lang w:val="es-MX"/>
        </w:rPr>
        <w:t>Statistical</w:t>
      </w:r>
      <w:proofErr w:type="spellEnd"/>
      <w:r w:rsidRPr="00CA0493">
        <w:rPr>
          <w:rStyle w:val="normaltextrun"/>
          <w:rFonts w:ascii="Calibri" w:hAnsi="Calibri" w:cs="Calibri"/>
          <w:sz w:val="20"/>
          <w:szCs w:val="20"/>
          <w:lang w:val="es-MX"/>
        </w:rPr>
        <w:t> </w:t>
      </w:r>
      <w:proofErr w:type="spellStart"/>
      <w:r w:rsidRPr="00CA0493">
        <w:rPr>
          <w:rStyle w:val="normaltextrun"/>
          <w:rFonts w:ascii="Calibri" w:hAnsi="Calibri" w:cs="Calibri"/>
          <w:sz w:val="20"/>
          <w:szCs w:val="20"/>
          <w:lang w:val="es-MX"/>
        </w:rPr>
        <w:t>Classifications</w:t>
      </w:r>
      <w:proofErr w:type="spellEnd"/>
      <w:r w:rsidRPr="00CA0493">
        <w:rPr>
          <w:rStyle w:val="normaltextrun"/>
          <w:rFonts w:ascii="Calibri" w:hAnsi="Calibri" w:cs="Calibri"/>
          <w:sz w:val="20"/>
          <w:szCs w:val="20"/>
          <w:lang w:val="es-MX"/>
        </w:rPr>
        <w:t> </w:t>
      </w:r>
      <w:proofErr w:type="spellStart"/>
      <w:r w:rsidRPr="00CA0493">
        <w:rPr>
          <w:rStyle w:val="normaltextrun"/>
          <w:rFonts w:ascii="Calibri" w:hAnsi="Calibri" w:cs="Calibri"/>
          <w:sz w:val="20"/>
          <w:szCs w:val="20"/>
          <w:lang w:val="es-MX"/>
        </w:rPr>
        <w:t>chl</w:t>
      </w:r>
      <w:proofErr w:type="spellEnd"/>
      <w:r w:rsidRPr="00CA0493">
        <w:rPr>
          <w:rStyle w:val="normaltextrun"/>
          <w:rFonts w:ascii="Calibri" w:hAnsi="Calibri" w:cs="Calibri"/>
          <w:sz w:val="20"/>
          <w:szCs w:val="20"/>
          <w:lang w:val="es-MX"/>
        </w:rPr>
        <w:t>-DESA (chl@un.org) relacionadas con el coeficiente de homogeneidad que se menciona en las notas introductorias de la CIIU Rev. Estas consultas surgen durante la fase de diseño de la implementación de la adaptación nacional de la CIIU Rev.5 en Chile, particularmente se elaboraron criterios de admisibilidad para evaluar las solicitudes de cambios estructurales y contenido presentadas por distintos organismos e instituciones nacionales.</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lang w:val="es-MX"/>
        </w:rPr>
        <w:t>Esta consulta fue realizada en 2026 y la versión original es en inglés.</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lang w:val="es-MX"/>
        </w:rPr>
        <w:t>Se comparten estas consultas con fines informativos y a modo de referencia, en caso de que su contenido resulte útil para otros miembros.</w:t>
      </w:r>
      <w:r w:rsidRPr="00CA0493">
        <w:rPr>
          <w:rStyle w:val="eop"/>
          <w:rFonts w:ascii="Calibri" w:hAnsi="Calibri" w:cs="Calibri"/>
          <w:sz w:val="20"/>
          <w:szCs w:val="20"/>
        </w:rPr>
        <w:t> </w:t>
      </w:r>
    </w:p>
    <w:bookmarkEnd w:id="0"/>
    <w:p w:rsidR="00CA0493" w:rsidRDefault="00CA0493" w:rsidP="00CA0493">
      <w:pPr>
        <w:pStyle w:val="paragraph"/>
        <w:spacing w:before="0" w:beforeAutospacing="0" w:after="0" w:afterAutospacing="0"/>
        <w:textAlignment w:val="baseline"/>
        <w:rPr>
          <w:rStyle w:val="normaltextrun"/>
          <w:rFonts w:ascii="Calibri" w:hAnsi="Calibri" w:cs="Calibri"/>
          <w:i/>
          <w:iCs/>
          <w:sz w:val="20"/>
          <w:szCs w:val="20"/>
          <w:lang w:val="es-MX"/>
        </w:rPr>
      </w:pPr>
    </w:p>
    <w:p w:rsidR="00CA0493" w:rsidRDefault="00CA0493" w:rsidP="00CA0493">
      <w:pPr>
        <w:pStyle w:val="paragraph"/>
        <w:spacing w:before="0" w:beforeAutospacing="0" w:after="0" w:afterAutospacing="0"/>
        <w:textAlignment w:val="baseline"/>
        <w:rPr>
          <w:rStyle w:val="eop"/>
          <w:rFonts w:ascii="Calibri" w:hAnsi="Calibri" w:cs="Calibri"/>
          <w:sz w:val="20"/>
          <w:szCs w:val="20"/>
        </w:rPr>
      </w:pPr>
      <w:r w:rsidRPr="00CA0493">
        <w:rPr>
          <w:rStyle w:val="normaltextrun"/>
          <w:rFonts w:ascii="Calibri" w:hAnsi="Calibri" w:cs="Calibri"/>
          <w:i/>
          <w:iCs/>
          <w:sz w:val="20"/>
          <w:szCs w:val="20"/>
          <w:lang w:val="es-MX"/>
        </w:rPr>
        <w:t>Antecedentes enviados a </w:t>
      </w:r>
      <w:proofErr w:type="spellStart"/>
      <w:r w:rsidRPr="00CA0493">
        <w:rPr>
          <w:rStyle w:val="normaltextrun"/>
          <w:rFonts w:ascii="Calibri" w:hAnsi="Calibri" w:cs="Calibri"/>
          <w:i/>
          <w:iCs/>
          <w:sz w:val="20"/>
          <w:szCs w:val="20"/>
          <w:lang w:val="es-MX"/>
        </w:rPr>
        <w:t>Statistical</w:t>
      </w:r>
      <w:proofErr w:type="spellEnd"/>
      <w:r w:rsidRPr="00CA0493">
        <w:rPr>
          <w:rStyle w:val="normaltextrun"/>
          <w:rFonts w:ascii="Calibri" w:hAnsi="Calibri" w:cs="Calibri"/>
          <w:i/>
          <w:iCs/>
          <w:sz w:val="20"/>
          <w:szCs w:val="20"/>
          <w:lang w:val="es-MX"/>
        </w:rPr>
        <w:t> </w:t>
      </w:r>
      <w:proofErr w:type="spellStart"/>
      <w:r w:rsidRPr="00CA0493">
        <w:rPr>
          <w:rStyle w:val="normaltextrun"/>
          <w:rFonts w:ascii="Calibri" w:hAnsi="Calibri" w:cs="Calibri"/>
          <w:i/>
          <w:iCs/>
          <w:sz w:val="20"/>
          <w:szCs w:val="20"/>
          <w:lang w:val="es-MX"/>
        </w:rPr>
        <w:t>Classifications</w:t>
      </w:r>
      <w:proofErr w:type="spellEnd"/>
      <w:r w:rsidRPr="00CA0493">
        <w:rPr>
          <w:rStyle w:val="normaltextrun"/>
          <w:rFonts w:ascii="Calibri" w:hAnsi="Calibri" w:cs="Calibri"/>
          <w:i/>
          <w:iCs/>
          <w:sz w:val="20"/>
          <w:szCs w:val="20"/>
          <w:lang w:val="es-MX"/>
        </w:rPr>
        <w:t> </w:t>
      </w:r>
      <w:proofErr w:type="spellStart"/>
      <w:r w:rsidRPr="00CA0493">
        <w:rPr>
          <w:rStyle w:val="normaltextrun"/>
          <w:rFonts w:ascii="Calibri" w:hAnsi="Calibri" w:cs="Calibri"/>
          <w:i/>
          <w:iCs/>
          <w:sz w:val="20"/>
          <w:szCs w:val="20"/>
          <w:lang w:val="es-MX"/>
        </w:rPr>
        <w:t>chl</w:t>
      </w:r>
      <w:proofErr w:type="spellEnd"/>
      <w:r w:rsidRPr="00CA0493">
        <w:rPr>
          <w:rStyle w:val="normaltextrun"/>
          <w:rFonts w:ascii="Calibri" w:hAnsi="Calibri" w:cs="Calibri"/>
          <w:i/>
          <w:iCs/>
          <w:sz w:val="20"/>
          <w:szCs w:val="20"/>
          <w:lang w:val="es-MX"/>
        </w:rPr>
        <w:t>-DESA (</w:t>
      </w:r>
      <w:hyperlink r:id="rId4" w:history="1">
        <w:r w:rsidRPr="00EE4D2C">
          <w:rPr>
            <w:rStyle w:val="Hipervnculo"/>
            <w:rFonts w:ascii="Calibri" w:hAnsi="Calibri" w:cs="Calibri"/>
            <w:i/>
            <w:iCs/>
            <w:sz w:val="20"/>
            <w:szCs w:val="20"/>
            <w:lang w:val="es-MX"/>
          </w:rPr>
          <w:t>chl@un.org</w:t>
        </w:r>
      </w:hyperlink>
      <w:r w:rsidRPr="00CA0493">
        <w:rPr>
          <w:rStyle w:val="normaltextrun"/>
          <w:rFonts w:ascii="Calibri" w:hAnsi="Calibri" w:cs="Calibri"/>
          <w:i/>
          <w:iCs/>
          <w:sz w:val="20"/>
          <w:szCs w:val="20"/>
          <w:lang w:val="es-MX"/>
        </w:rPr>
        <w:t>)</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textAlignment w:val="baseline"/>
        <w:rPr>
          <w:rFonts w:ascii="Calibri" w:hAnsi="Calibri" w:cs="Calibri"/>
          <w:sz w:val="20"/>
          <w:szCs w:val="20"/>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Como INE Chile estamos desarrollando los Criterios de Admisibilidad, que consisten en un conjunto de principios, directrices y/o herramientas de evaluación que se utilizarán para evaluar la relevancia, viabilidad y legitimidad de propuestas para la desagregación y fusión de categorías ISIC Rev.5 presentadas por usuarios y productores durante el proceso nacional de adaptación.</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Al preparar estos Criterios de Admisibilidad, hemos revisado un amplio conjunto de documentos, incluyendo la Introducción a la Clasificación Industrial Estándar Internacional de Todas las Actividades Económicas, Revisión 5 (ISIC Rev.5) [2], la Clasificación Industrial Estándar Australiana y Nueva Zelandesa (ANZSIC) [3], la Clasificación Industrial Estándar Internacional de Todas las Actividades Económicas, Revisión 3 (ISIC Rev.3) [4], y el Glosario de Términos de Clasificación [5]. En este contexto, el concepto de homogeneidad ha surgido como un criterio potencialmente relevante para evaluar la coherencia interna de las categorías y su consistencia conceptual, especialmente basado en una afirmación del párrafo 184 de la introducción del ISIC Rev.5:</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"El cálculo de las proporciones de homogeneidad puede servir como herramienta para determinar la viabilidad y utilidad de categorías más detalladas de la clasificación [2]</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Según ANZSIC, la homogeneidad dentro de las categorías puede medirse mediante razones de homogeneidad, es decir, la razón de cobertura y la razón de especialización. Hemos buscado información sobre el cálculo de estas proporciones de homogeneidad y hemos encontrado varias definiciones que son consistentes entre sí y muestran una alineación conceptual global:</w:t>
      </w:r>
      <w:r w:rsidRPr="00CA0493">
        <w:rPr>
          <w:rStyle w:val="eop"/>
          <w:rFonts w:ascii="Calibri" w:hAnsi="Calibri" w:cs="Calibri"/>
          <w:sz w:val="20"/>
          <w:szCs w:val="20"/>
        </w:rPr>
        <w:t> </w:t>
      </w:r>
    </w:p>
    <w:p w:rsidR="00CA0493" w:rsidRDefault="00CA0493" w:rsidP="00CA0493">
      <w:pPr>
        <w:pStyle w:val="paragraph"/>
        <w:spacing w:before="0" w:beforeAutospacing="0" w:after="0" w:afterAutospacing="0"/>
        <w:jc w:val="both"/>
        <w:textAlignment w:val="baseline"/>
        <w:rPr>
          <w:rStyle w:val="normaltextrun"/>
          <w:rFonts w:ascii="Calibri" w:hAnsi="Calibri" w:cs="Calibri"/>
          <w:b/>
          <w:bCs/>
          <w:sz w:val="20"/>
          <w:szCs w:val="20"/>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b/>
          <w:bCs/>
          <w:sz w:val="20"/>
          <w:szCs w:val="20"/>
        </w:rPr>
        <w:t>Ratio de cobertura:</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Mide hasta qué punto las observaciones designadas como primarias para una categoría dada son realizadas por unidades que se dedican principalmente a las observaciones relacionadas con esa categoría. En estadística industrial, el índice de cobertura es la producción de bienes y servicios característicos de una industria determinada como proporción de la producción total de esos mismos bienes y servicios por parte de la economía en su conjunto [5].</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El índice de cobertura es la producción de bienes o servicios característicos de la industria como proporción de la producción total de esos mismos bienes o servicios por parte de la economía en su conjunto [4; E-155].</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La ratio de cobertura mide el grado en que las actividades asignadas a una clase determinada son llevadas a cabo por las unidades pertenecientes a esa clase [3].</w:t>
      </w:r>
      <w:r w:rsidRPr="00CA0493">
        <w:rPr>
          <w:rStyle w:val="eop"/>
          <w:rFonts w:ascii="Calibri" w:hAnsi="Calibri" w:cs="Calibri"/>
          <w:sz w:val="20"/>
          <w:szCs w:val="20"/>
        </w:rPr>
        <w:t> </w:t>
      </w:r>
    </w:p>
    <w:p w:rsidR="00CA0493" w:rsidRDefault="00CA0493" w:rsidP="00CA0493">
      <w:pPr>
        <w:pStyle w:val="paragraph"/>
        <w:spacing w:before="0" w:beforeAutospacing="0" w:after="0" w:afterAutospacing="0"/>
        <w:jc w:val="both"/>
        <w:textAlignment w:val="baseline"/>
        <w:rPr>
          <w:rStyle w:val="normaltextrun"/>
          <w:rFonts w:ascii="Calibri" w:hAnsi="Calibri" w:cs="Calibri"/>
          <w:b/>
          <w:bCs/>
          <w:sz w:val="20"/>
          <w:szCs w:val="20"/>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b/>
          <w:bCs/>
          <w:sz w:val="20"/>
          <w:szCs w:val="20"/>
        </w:rPr>
        <w:t>Índice de especialización:</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Ayuda a evaluar la homogeneidad de las categorías dentro de una clasificación. Los coeficientes de especialización miden hasta qué punto las observaciones contenidas dentro de una categoría son representativas del conjunto total de esas observaciones (por ejemplo, en estadística industrial, el coeficiente de especialización es la producción por parte de una industria de bienes y servicios característicos de esa industria como proporción de su producción total) [5].</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La proporción de especialización de una industria es la producción de bienes o servicios característicos de esa industria como proporción de su producción total [4; E-155].</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lastRenderedPageBreak/>
        <w:t>La razón de especialización mide el grado en que las unidades pertenecientes a una clase determinada realizan las actividades designadas como primarias para esa clase [3].</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Referencias</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[1] Comisión de Estadística. (1999). </w:t>
      </w:r>
      <w:r w:rsidRPr="00CA0493">
        <w:rPr>
          <w:rStyle w:val="normaltextrun"/>
          <w:rFonts w:ascii="Calibri" w:hAnsi="Calibri" w:cs="Calibri"/>
          <w:i/>
          <w:iCs/>
          <w:sz w:val="20"/>
          <w:szCs w:val="20"/>
        </w:rPr>
        <w:t>Principios básicos de las estadísticas oficiales nacionales</w:t>
      </w:r>
      <w:r w:rsidRPr="00CA0493">
        <w:rPr>
          <w:rStyle w:val="normaltextrun"/>
          <w:rFonts w:ascii="Calibri" w:hAnsi="Calibri" w:cs="Calibri"/>
          <w:sz w:val="20"/>
          <w:szCs w:val="20"/>
        </w:rPr>
        <w:t>. Naciones Unidas, División de Estadística.</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[2] División de Estadística de las Naciones Unidas. (2024). Introducción de la Clasificación Industrial Estándar de Todas las Actividades Económicas, Revisión 5 (ISIC Rev.5).</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[3] Oficina Australiana de Estadísticas. (2013). </w:t>
      </w:r>
      <w:r w:rsidRPr="00CA0493">
        <w:rPr>
          <w:rStyle w:val="normaltextrun"/>
          <w:rFonts w:ascii="Calibri" w:hAnsi="Calibri" w:cs="Calibri"/>
          <w:i/>
          <w:iCs/>
          <w:sz w:val="20"/>
          <w:szCs w:val="20"/>
        </w:rPr>
        <w:t>Naturaleza y objetivos de la clasificación</w:t>
      </w:r>
      <w:r w:rsidRPr="00CA0493">
        <w:rPr>
          <w:rStyle w:val="normaltextrun"/>
          <w:rFonts w:ascii="Calibri" w:hAnsi="Calibri" w:cs="Calibri"/>
          <w:sz w:val="20"/>
          <w:szCs w:val="20"/>
        </w:rPr>
        <w:t> (Clasificación Industrial Estándar Australiana y Nueva Zelandesa (ANZSIC), Revisión 2.0 de 2006</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[4] División de Estadística de las Naciones Unidas. (1990). </w:t>
      </w:r>
      <w:r w:rsidRPr="00CA0493">
        <w:rPr>
          <w:rStyle w:val="normaltextrun"/>
          <w:rFonts w:ascii="Calibri" w:hAnsi="Calibri" w:cs="Calibri"/>
          <w:i/>
          <w:iCs/>
          <w:sz w:val="20"/>
          <w:szCs w:val="20"/>
        </w:rPr>
        <w:t>Clasificación Industrial Estándar Internacional de Todas las Actividades Económicas (ISIC), Revisión 3</w:t>
      </w:r>
      <w:r w:rsidRPr="00CA0493">
        <w:rPr>
          <w:rStyle w:val="normaltextrun"/>
          <w:rFonts w:ascii="Calibri" w:hAnsi="Calibri" w:cs="Calibri"/>
          <w:sz w:val="20"/>
          <w:szCs w:val="20"/>
        </w:rPr>
        <w:t>. Naciones Unidas</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[5] División de Estadística de las Naciones Unidas. (</w:t>
      </w:r>
      <w:proofErr w:type="gramStart"/>
      <w:r w:rsidRPr="00CA0493">
        <w:rPr>
          <w:rStyle w:val="normaltextrun"/>
          <w:rFonts w:ascii="Calibri" w:hAnsi="Calibri" w:cs="Calibri"/>
          <w:sz w:val="20"/>
          <w:szCs w:val="20"/>
        </w:rPr>
        <w:t>s</w:t>
      </w:r>
      <w:proofErr w:type="gramEnd"/>
      <w:r w:rsidRPr="00CA0493">
        <w:rPr>
          <w:rStyle w:val="normaltextrun"/>
          <w:rFonts w:ascii="Calibri" w:hAnsi="Calibri" w:cs="Calibri"/>
          <w:sz w:val="20"/>
          <w:szCs w:val="20"/>
        </w:rPr>
        <w:t>. f.). Glosario de términos de clasificación (versión corta).</w:t>
      </w:r>
      <w:r w:rsidRPr="00CA0493">
        <w:rPr>
          <w:rStyle w:val="eop"/>
          <w:rFonts w:ascii="Calibri" w:hAnsi="Calibri" w:cs="Calibri"/>
          <w:sz w:val="20"/>
          <w:szCs w:val="20"/>
        </w:rPr>
        <w:t> </w:t>
      </w:r>
    </w:p>
    <w:p w:rsidR="00CA0493" w:rsidRDefault="00CA0493" w:rsidP="00CA0493">
      <w:pPr>
        <w:pStyle w:val="paragraph"/>
        <w:spacing w:before="0" w:beforeAutospacing="0" w:after="0" w:afterAutospacing="0"/>
        <w:jc w:val="both"/>
        <w:textAlignment w:val="baseline"/>
        <w:rPr>
          <w:rStyle w:val="normaltextrun"/>
          <w:rFonts w:ascii="Calibri" w:hAnsi="Calibri" w:cs="Calibri"/>
          <w:b/>
          <w:bCs/>
          <w:sz w:val="20"/>
          <w:szCs w:val="20"/>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b/>
          <w:bCs/>
          <w:sz w:val="20"/>
          <w:szCs w:val="20"/>
        </w:rPr>
        <w:t>Pregunta 1</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¿Cuál es la definición del coeficiente de homogeneidad al que se refiere ISIC?  </w:t>
      </w:r>
      <w:r w:rsidRPr="00CA0493">
        <w:rPr>
          <w:rStyle w:val="eop"/>
          <w:rFonts w:ascii="Calibri" w:hAnsi="Calibri" w:cs="Calibri"/>
          <w:sz w:val="20"/>
          <w:szCs w:val="20"/>
        </w:rPr>
        <w:t> </w:t>
      </w:r>
    </w:p>
    <w:p w:rsidR="00CA0493" w:rsidRDefault="00CA0493" w:rsidP="00CA0493">
      <w:pPr>
        <w:pStyle w:val="paragraph"/>
        <w:spacing w:before="0" w:beforeAutospacing="0" w:after="0" w:afterAutospacing="0"/>
        <w:jc w:val="both"/>
        <w:textAlignment w:val="baseline"/>
        <w:rPr>
          <w:rStyle w:val="normaltextrun"/>
          <w:rFonts w:ascii="Calibri" w:hAnsi="Calibri" w:cs="Calibri"/>
          <w:b/>
          <w:bCs/>
          <w:sz w:val="20"/>
          <w:szCs w:val="20"/>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b/>
          <w:bCs/>
          <w:sz w:val="20"/>
          <w:szCs w:val="20"/>
        </w:rPr>
        <w:t>Respuesta 1</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Las “proporciones de homogeneidad” mencionadas en ISIC Rev. 5 simplemente se refieren a las dos proporciones que mencionas: la ratio de cobertura y la ratio de especialización.  No tiene ninguna definición o alcance específico adicional.</w:t>
      </w:r>
      <w:r w:rsidRPr="00CA0493">
        <w:rPr>
          <w:rStyle w:val="eop"/>
          <w:rFonts w:ascii="Calibri" w:hAnsi="Calibri" w:cs="Calibri"/>
          <w:sz w:val="20"/>
          <w:szCs w:val="20"/>
        </w:rPr>
        <w:t> </w:t>
      </w:r>
    </w:p>
    <w:p w:rsidR="00CA0493" w:rsidRDefault="00CA0493" w:rsidP="00CA0493">
      <w:pPr>
        <w:pStyle w:val="paragraph"/>
        <w:spacing w:before="0" w:beforeAutospacing="0" w:after="0" w:afterAutospacing="0"/>
        <w:jc w:val="both"/>
        <w:textAlignment w:val="baseline"/>
        <w:rPr>
          <w:rStyle w:val="normaltextrun"/>
          <w:rFonts w:ascii="Calibri" w:hAnsi="Calibri" w:cs="Calibri"/>
          <w:b/>
          <w:bCs/>
          <w:sz w:val="20"/>
          <w:szCs w:val="20"/>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b/>
          <w:bCs/>
          <w:sz w:val="20"/>
          <w:szCs w:val="20"/>
        </w:rPr>
        <w:t>Pregunta 2</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¿Cuál es la fórmula utilizada para su cálculo? ¿Podrías dar un ejemplo, por favor?</w:t>
      </w:r>
      <w:r w:rsidRPr="00CA0493">
        <w:rPr>
          <w:rStyle w:val="eop"/>
          <w:rFonts w:ascii="Calibri" w:hAnsi="Calibri" w:cs="Calibri"/>
          <w:sz w:val="20"/>
          <w:szCs w:val="20"/>
        </w:rPr>
        <w:t> </w:t>
      </w:r>
    </w:p>
    <w:p w:rsidR="00CA0493" w:rsidRDefault="00CA0493" w:rsidP="00CA0493">
      <w:pPr>
        <w:pStyle w:val="paragraph"/>
        <w:spacing w:before="0" w:beforeAutospacing="0" w:after="0" w:afterAutospacing="0"/>
        <w:jc w:val="both"/>
        <w:textAlignment w:val="baseline"/>
        <w:rPr>
          <w:rStyle w:val="normaltextrun"/>
          <w:rFonts w:ascii="Calibri" w:hAnsi="Calibri" w:cs="Calibri"/>
          <w:b/>
          <w:bCs/>
          <w:sz w:val="20"/>
          <w:szCs w:val="20"/>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b/>
          <w:bCs/>
          <w:sz w:val="20"/>
          <w:szCs w:val="20"/>
        </w:rPr>
        <w:t>Respuesta 2</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Más información sobre estas dos proporciones está disponible en ISIC Rev. 3.1, párrafos 128-132, aunque ya ha anotado la mayor parte de esta información (véase </w:t>
      </w:r>
      <w:hyperlink r:id="rId5" w:tgtFrame="_blank" w:history="1">
        <w:r w:rsidRPr="00CA0493">
          <w:rPr>
            <w:rStyle w:val="normaltextrun"/>
            <w:rFonts w:ascii="Calibri" w:hAnsi="Calibri" w:cs="Calibri"/>
            <w:color w:val="467886"/>
            <w:sz w:val="20"/>
            <w:szCs w:val="20"/>
            <w:u w:val="single"/>
          </w:rPr>
          <w:t>https://unstats.un.org/unsd/classifications/Econ/Download/In%20Text/Isic31_English.pdf</w:t>
        </w:r>
      </w:hyperlink>
      <w:r w:rsidRPr="00CA0493">
        <w:rPr>
          <w:rStyle w:val="normaltextrun"/>
          <w:rFonts w:ascii="Calibri" w:hAnsi="Calibri" w:cs="Calibri"/>
          <w:sz w:val="20"/>
          <w:szCs w:val="20"/>
        </w:rPr>
        <w:t>)</w:t>
      </w:r>
      <w:r w:rsidRPr="00CA0493">
        <w:rPr>
          <w:rStyle w:val="eop"/>
          <w:rFonts w:ascii="Calibri" w:hAnsi="Calibri" w:cs="Calibri"/>
          <w:sz w:val="20"/>
          <w:szCs w:val="20"/>
        </w:rPr>
        <w:t> </w:t>
      </w:r>
    </w:p>
    <w:p w:rsidR="00CA0493" w:rsidRDefault="00CA0493" w:rsidP="00CA0493">
      <w:pPr>
        <w:pStyle w:val="paragraph"/>
        <w:spacing w:before="0" w:beforeAutospacing="0" w:after="0" w:afterAutospacing="0"/>
        <w:jc w:val="both"/>
        <w:textAlignment w:val="baseline"/>
        <w:rPr>
          <w:rStyle w:val="normaltextrun"/>
          <w:rFonts w:ascii="Calibri" w:hAnsi="Calibri" w:cs="Calibri"/>
          <w:b/>
          <w:bCs/>
          <w:sz w:val="20"/>
          <w:szCs w:val="20"/>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b/>
          <w:bCs/>
          <w:sz w:val="20"/>
          <w:szCs w:val="20"/>
        </w:rPr>
        <w:t>Pregunta 3</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¿Considera relevante que las Oficinas Nacionales de Estadística apliquen este criterio al tomar decisiones sobre solicitudes de nuevas desagregaciones?</w:t>
      </w:r>
      <w:r w:rsidRPr="00CA0493">
        <w:rPr>
          <w:rStyle w:val="eop"/>
          <w:rFonts w:ascii="Calibri" w:hAnsi="Calibri" w:cs="Calibri"/>
          <w:sz w:val="20"/>
          <w:szCs w:val="20"/>
        </w:rPr>
        <w:t> </w:t>
      </w:r>
    </w:p>
    <w:p w:rsidR="00CA0493" w:rsidRDefault="00CA0493" w:rsidP="00CA0493">
      <w:pPr>
        <w:pStyle w:val="paragraph"/>
        <w:spacing w:before="0" w:beforeAutospacing="0" w:after="0" w:afterAutospacing="0"/>
        <w:jc w:val="both"/>
        <w:textAlignment w:val="baseline"/>
        <w:rPr>
          <w:rStyle w:val="normaltextrun"/>
          <w:rFonts w:ascii="Calibri" w:hAnsi="Calibri" w:cs="Calibri"/>
          <w:b/>
          <w:bCs/>
          <w:sz w:val="20"/>
          <w:szCs w:val="20"/>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b/>
          <w:bCs/>
          <w:sz w:val="20"/>
          <w:szCs w:val="20"/>
        </w:rPr>
        <w:t>Respuesta 3</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El encabezado mencionado anteriormente de la revisión ISIC Rev. 4 proporcionó cierto contexto sobre por qué estas referencias fueron eliminadas del ISIC Rev. 4 (y posteriormente, del Rev. 5).  En resumen, debido al alto coste de recopilar los datos requeridos, muy pocos países calculaban estas proporciones:</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"Para que estas proporciones sean una herramienta útil, se necesitan muchos datos de producto, incluso si se calculan solo para un conjunto más pequeño de industrias. El producto también podría ser producido por industrias (como producto secundario) que no estén clasificadas cerca de la industria considerada, por lo que la red debe ser bastante amplia. Si se planifican detalles adicionales, también sería necesario acordar (o definir) los conjuntos de productos característicos (productos primarios) en esos nuevos niveles, que pueden requerir múltiples iteraciones para maximizar las proporciones. (He tenido varias conversaciones con países sobre planes para nuevas </w:t>
      </w:r>
      <w:proofErr w:type="spellStart"/>
      <w:r w:rsidRPr="00CA0493">
        <w:rPr>
          <w:rStyle w:val="normaltextrun"/>
          <w:rFonts w:ascii="Calibri" w:hAnsi="Calibri" w:cs="Calibri"/>
          <w:sz w:val="20"/>
          <w:szCs w:val="20"/>
        </w:rPr>
        <w:t>colapsaciones</w:t>
      </w:r>
      <w:proofErr w:type="spellEnd"/>
      <w:r w:rsidRPr="00CA0493">
        <w:rPr>
          <w:rStyle w:val="normaltextrun"/>
          <w:rFonts w:ascii="Calibri" w:hAnsi="Calibri" w:cs="Calibri"/>
          <w:sz w:val="20"/>
          <w:szCs w:val="20"/>
        </w:rPr>
        <w:t>, que normalmente fracasaban en ese paso)"</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Como se señala además en ISIC Rev. 3.1, párrafo 130, el uso de estas proporciones es complejo y no proporciona "ninguna garantía de estadísticas útiles".</w:t>
      </w:r>
      <w:r w:rsidRPr="00CA0493">
        <w:rPr>
          <w:rStyle w:val="eop"/>
          <w:rFonts w:ascii="Calibri" w:hAnsi="Calibri" w:cs="Calibri"/>
          <w:sz w:val="20"/>
          <w:szCs w:val="20"/>
        </w:rPr>
        <w:t> </w:t>
      </w:r>
    </w:p>
    <w:p w:rsidR="00CA0493" w:rsidRDefault="00CA0493" w:rsidP="00CA0493">
      <w:pPr>
        <w:pStyle w:val="paragraph"/>
        <w:spacing w:before="0" w:beforeAutospacing="0" w:after="0" w:afterAutospacing="0"/>
        <w:jc w:val="both"/>
        <w:textAlignment w:val="baseline"/>
        <w:rPr>
          <w:rStyle w:val="normaltextrun"/>
          <w:rFonts w:ascii="Calibri" w:hAnsi="Calibri" w:cs="Calibri"/>
          <w:b/>
          <w:bCs/>
          <w:sz w:val="20"/>
          <w:szCs w:val="20"/>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b/>
          <w:bCs/>
          <w:sz w:val="20"/>
          <w:szCs w:val="20"/>
        </w:rPr>
        <w:t>Pregunta 4</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¿Conoce países que utilicen este criterio para definir categorías en sus adaptaciones nacionales?</w:t>
      </w:r>
      <w:r w:rsidRPr="00CA0493">
        <w:rPr>
          <w:rStyle w:val="eop"/>
          <w:rFonts w:ascii="Calibri" w:hAnsi="Calibri" w:cs="Calibri"/>
          <w:sz w:val="20"/>
          <w:szCs w:val="20"/>
        </w:rPr>
        <w:t> </w:t>
      </w:r>
    </w:p>
    <w:p w:rsidR="00CA0493" w:rsidRDefault="00CA0493" w:rsidP="00CA0493">
      <w:pPr>
        <w:pStyle w:val="paragraph"/>
        <w:spacing w:before="0" w:beforeAutospacing="0" w:after="0" w:afterAutospacing="0"/>
        <w:jc w:val="both"/>
        <w:textAlignment w:val="baseline"/>
        <w:rPr>
          <w:rStyle w:val="normaltextrun"/>
          <w:rFonts w:ascii="Calibri" w:hAnsi="Calibri" w:cs="Calibri"/>
          <w:b/>
          <w:bCs/>
          <w:sz w:val="20"/>
          <w:szCs w:val="20"/>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b/>
          <w:bCs/>
          <w:sz w:val="20"/>
          <w:szCs w:val="20"/>
        </w:rPr>
        <w:t>Respuesta 4</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 xml:space="preserve">Nos informaron que Estados Unidos y Canadá solían calcular estas proporciones, pero que las dejaron de fabricar hace tiempo.  Sin embargo, un útil artículo metodológico fue publicado </w:t>
      </w:r>
      <w:r w:rsidRPr="00CA0493">
        <w:rPr>
          <w:rStyle w:val="normaltextrun"/>
          <w:rFonts w:ascii="Calibri" w:hAnsi="Calibri" w:cs="Calibri"/>
          <w:sz w:val="20"/>
          <w:szCs w:val="20"/>
        </w:rPr>
        <w:lastRenderedPageBreak/>
        <w:t>por Statistics Canada (</w:t>
      </w:r>
      <w:hyperlink r:id="rId6" w:tgtFrame="_blank" w:history="1">
        <w:r w:rsidRPr="00CA0493">
          <w:rPr>
            <w:rStyle w:val="normaltextrun"/>
            <w:rFonts w:ascii="Calibri" w:hAnsi="Calibri" w:cs="Calibri"/>
            <w:color w:val="467886"/>
            <w:sz w:val="20"/>
            <w:szCs w:val="20"/>
            <w:u w:val="single"/>
          </w:rPr>
          <w:t>https://www150.statcan.gc.ca/n1/en/pub/61f0041m/61f0041m1997001-eng.pdf?st=v8QB3t9o</w:t>
        </w:r>
      </w:hyperlink>
      <w:r w:rsidRPr="00CA0493">
        <w:rPr>
          <w:rStyle w:val="normaltextrun"/>
          <w:rFonts w:ascii="Calibri" w:hAnsi="Calibri" w:cs="Calibri"/>
          <w:sz w:val="20"/>
          <w:szCs w:val="20"/>
        </w:rPr>
        <w:t>) en 1997</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rPr>
      </w:pPr>
      <w:r w:rsidRPr="00CA0493">
        <w:rPr>
          <w:rStyle w:val="normaltextrun"/>
          <w:rFonts w:ascii="Calibri" w:hAnsi="Calibri" w:cs="Calibri"/>
          <w:sz w:val="20"/>
          <w:szCs w:val="20"/>
        </w:rPr>
        <w:t>La Oficina Australiana de Estadísticas también proporciona información de contexto sobre su adaptación nacional actual.  Están discutiendo si su versión más reciente utilizará estas proporciones (</w:t>
      </w:r>
      <w:hyperlink r:id="rId7" w:tgtFrame="_blank" w:history="1">
        <w:r w:rsidRPr="00CA0493">
          <w:rPr>
            <w:rStyle w:val="normaltextrun"/>
            <w:rFonts w:ascii="Calibri" w:hAnsi="Calibri" w:cs="Calibri"/>
            <w:color w:val="467886"/>
            <w:sz w:val="20"/>
            <w:szCs w:val="20"/>
            <w:u w:val="single"/>
          </w:rPr>
          <w:t>https://www.abs.gov.au/statistics/classifications/australian-and-new-zealand-standard-industrial-classification-anzsic/2006-revision-2-0/nature-and-objectives-classification#industry-homogeneity</w:t>
        </w:r>
      </w:hyperlink>
      <w:r w:rsidRPr="00CA0493">
        <w:rPr>
          <w:rStyle w:val="normaltextrun"/>
          <w:rFonts w:ascii="Calibri" w:hAnsi="Calibri" w:cs="Calibri"/>
          <w:sz w:val="20"/>
          <w:szCs w:val="20"/>
        </w:rPr>
        <w:t>)</w:t>
      </w: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textAlignment w:val="baseline"/>
        <w:rPr>
          <w:rFonts w:ascii="Calibri" w:hAnsi="Calibri" w:cs="Calibri"/>
          <w:sz w:val="20"/>
          <w:szCs w:val="20"/>
        </w:rPr>
      </w:pPr>
      <w:r w:rsidRPr="00CA0493">
        <w:rPr>
          <w:rStyle w:val="eop"/>
          <w:rFonts w:ascii="Calibri" w:hAnsi="Calibri" w:cs="Calibri"/>
          <w:sz w:val="20"/>
          <w:szCs w:val="20"/>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b/>
          <w:bCs/>
          <w:sz w:val="20"/>
          <w:szCs w:val="20"/>
          <w:lang w:val="en-US"/>
        </w:rPr>
        <w:t>Question regarding homogeneity coefficients in ISIC Rev.5</w:t>
      </w:r>
      <w:r w:rsidRPr="00CA0493">
        <w:rPr>
          <w:rStyle w:val="eop"/>
          <w:rFonts w:ascii="Calibri" w:hAnsi="Calibri" w:cs="Calibri"/>
          <w:sz w:val="20"/>
          <w:szCs w:val="20"/>
          <w:lang w:val="en-US"/>
        </w:rPr>
        <w:t> </w:t>
      </w:r>
    </w:p>
    <w:p w:rsidR="00CA0493" w:rsidRDefault="00CA0493" w:rsidP="00CA0493">
      <w:pPr>
        <w:pStyle w:val="paragraph"/>
        <w:spacing w:before="0" w:beforeAutospacing="0" w:after="0" w:afterAutospacing="0"/>
        <w:jc w:val="both"/>
        <w:textAlignment w:val="baseline"/>
        <w:rPr>
          <w:rStyle w:val="normaltextrun"/>
          <w:rFonts w:ascii="Calibri" w:hAnsi="Calibri" w:cs="Calibri"/>
          <w:i/>
          <w:iCs/>
          <w:sz w:val="20"/>
          <w:szCs w:val="20"/>
          <w:lang w:val="en-US"/>
        </w:rPr>
      </w:pPr>
    </w:p>
    <w:p w:rsidR="00CA0493" w:rsidRDefault="00CA0493" w:rsidP="00CA0493">
      <w:pPr>
        <w:pStyle w:val="paragraph"/>
        <w:spacing w:before="0" w:beforeAutospacing="0" w:after="0" w:afterAutospacing="0"/>
        <w:jc w:val="both"/>
        <w:textAlignment w:val="baseline"/>
        <w:rPr>
          <w:rStyle w:val="eop"/>
          <w:rFonts w:ascii="Calibri" w:hAnsi="Calibri" w:cs="Calibri"/>
          <w:sz w:val="20"/>
          <w:szCs w:val="20"/>
          <w:lang w:val="en-US"/>
        </w:rPr>
      </w:pPr>
      <w:r w:rsidRPr="00CA0493">
        <w:rPr>
          <w:rStyle w:val="normaltextrun"/>
          <w:rFonts w:ascii="Calibri" w:hAnsi="Calibri" w:cs="Calibri"/>
          <w:i/>
          <w:iCs/>
          <w:sz w:val="20"/>
          <w:szCs w:val="20"/>
          <w:lang w:val="en-US"/>
        </w:rPr>
        <w:t>Context and General Aspects of the Inquiry</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 xml:space="preserve">A series of inquiries </w:t>
      </w:r>
      <w:proofErr w:type="gramStart"/>
      <w:r w:rsidRPr="00CA0493">
        <w:rPr>
          <w:rStyle w:val="normaltextrun"/>
          <w:rFonts w:ascii="Calibri" w:hAnsi="Calibri" w:cs="Calibri"/>
          <w:sz w:val="20"/>
          <w:szCs w:val="20"/>
          <w:lang w:val="en-US"/>
        </w:rPr>
        <w:t>was submitted</w:t>
      </w:r>
      <w:proofErr w:type="gramEnd"/>
      <w:r w:rsidRPr="00CA0493">
        <w:rPr>
          <w:rStyle w:val="normaltextrun"/>
          <w:rFonts w:ascii="Calibri" w:hAnsi="Calibri" w:cs="Calibri"/>
          <w:sz w:val="20"/>
          <w:szCs w:val="20"/>
          <w:lang w:val="en-US"/>
        </w:rPr>
        <w:t> to Statistical Classifications </w:t>
      </w:r>
      <w:proofErr w:type="spellStart"/>
      <w:r w:rsidRPr="00CA0493">
        <w:rPr>
          <w:rStyle w:val="normaltextrun"/>
          <w:rFonts w:ascii="Calibri" w:hAnsi="Calibri" w:cs="Calibri"/>
          <w:sz w:val="20"/>
          <w:szCs w:val="20"/>
          <w:lang w:val="en-US"/>
        </w:rPr>
        <w:t>chl</w:t>
      </w:r>
      <w:proofErr w:type="spellEnd"/>
      <w:r w:rsidRPr="00CA0493">
        <w:rPr>
          <w:rStyle w:val="normaltextrun"/>
          <w:rFonts w:ascii="Calibri" w:hAnsi="Calibri" w:cs="Calibri"/>
          <w:sz w:val="20"/>
          <w:szCs w:val="20"/>
          <w:lang w:val="en-US"/>
        </w:rPr>
        <w:t>-DESA (chl@un.org) regarding the homogeneity coefficient referenced in the introductory notes of ISIC Rev.5. </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 xml:space="preserve">These inquiries arose during the design phase of the implementation of Chile's national adaptation of ISIC Rev.5. More specifically, they </w:t>
      </w:r>
      <w:proofErr w:type="gramStart"/>
      <w:r w:rsidRPr="00CA0493">
        <w:rPr>
          <w:rStyle w:val="normaltextrun"/>
          <w:rFonts w:ascii="Calibri" w:hAnsi="Calibri" w:cs="Calibri"/>
          <w:sz w:val="20"/>
          <w:szCs w:val="20"/>
          <w:lang w:val="en-US"/>
        </w:rPr>
        <w:t>were submitted</w:t>
      </w:r>
      <w:proofErr w:type="gramEnd"/>
      <w:r w:rsidRPr="00CA0493">
        <w:rPr>
          <w:rStyle w:val="normaltextrun"/>
          <w:rFonts w:ascii="Calibri" w:hAnsi="Calibri" w:cs="Calibri"/>
          <w:sz w:val="20"/>
          <w:szCs w:val="20"/>
          <w:lang w:val="en-US"/>
        </w:rPr>
        <w:t> in the context of developing admissibility criteria for evaluating proposals for structural and content changes put forward by various national agencies and institutions.</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 xml:space="preserve">These inquiries </w:t>
      </w:r>
      <w:proofErr w:type="gramStart"/>
      <w:r w:rsidRPr="00CA0493">
        <w:rPr>
          <w:rStyle w:val="normaltextrun"/>
          <w:rFonts w:ascii="Calibri" w:hAnsi="Calibri" w:cs="Calibri"/>
          <w:sz w:val="20"/>
          <w:szCs w:val="20"/>
          <w:lang w:val="en-US"/>
        </w:rPr>
        <w:t>were conducted</w:t>
      </w:r>
      <w:proofErr w:type="gramEnd"/>
      <w:r w:rsidRPr="00CA0493">
        <w:rPr>
          <w:rStyle w:val="normaltextrun"/>
          <w:rFonts w:ascii="Calibri" w:hAnsi="Calibri" w:cs="Calibri"/>
          <w:sz w:val="20"/>
          <w:szCs w:val="20"/>
          <w:lang w:val="en-US"/>
        </w:rPr>
        <w:t xml:space="preserve"> in 2026, and the original correspondence was drafted in English.</w:t>
      </w:r>
      <w:r w:rsidRPr="00CA0493">
        <w:rPr>
          <w:rStyle w:val="eop"/>
          <w:rFonts w:ascii="Calibri" w:hAnsi="Calibri" w:cs="Calibri"/>
          <w:sz w:val="20"/>
          <w:szCs w:val="20"/>
          <w:lang w:val="en-US"/>
        </w:rPr>
        <w:t> </w:t>
      </w:r>
    </w:p>
    <w:p w:rsidR="00CA0493" w:rsidRDefault="00CA0493" w:rsidP="00CA0493">
      <w:pPr>
        <w:pStyle w:val="paragraph"/>
        <w:spacing w:before="0" w:beforeAutospacing="0" w:after="0" w:afterAutospacing="0"/>
        <w:jc w:val="both"/>
        <w:textAlignment w:val="baseline"/>
        <w:rPr>
          <w:rStyle w:val="eop"/>
          <w:rFonts w:ascii="Calibri" w:hAnsi="Calibri" w:cs="Calibri"/>
          <w:sz w:val="20"/>
          <w:szCs w:val="20"/>
          <w:lang w:val="en-US"/>
        </w:rPr>
      </w:pPr>
      <w:r w:rsidRPr="00CA0493">
        <w:rPr>
          <w:rStyle w:val="normaltextrun"/>
          <w:rFonts w:ascii="Calibri" w:hAnsi="Calibri" w:cs="Calibri"/>
          <w:sz w:val="20"/>
          <w:szCs w:val="20"/>
          <w:lang w:val="en-US"/>
        </w:rPr>
        <w:t xml:space="preserve">These inquiries </w:t>
      </w:r>
      <w:proofErr w:type="gramStart"/>
      <w:r w:rsidRPr="00CA0493">
        <w:rPr>
          <w:rStyle w:val="normaltextrun"/>
          <w:rFonts w:ascii="Calibri" w:hAnsi="Calibri" w:cs="Calibri"/>
          <w:sz w:val="20"/>
          <w:szCs w:val="20"/>
          <w:lang w:val="en-US"/>
        </w:rPr>
        <w:t>are shared</w:t>
      </w:r>
      <w:proofErr w:type="gramEnd"/>
      <w:r w:rsidRPr="00CA0493">
        <w:rPr>
          <w:rStyle w:val="normaltextrun"/>
          <w:rFonts w:ascii="Calibri" w:hAnsi="Calibri" w:cs="Calibri"/>
          <w:sz w:val="20"/>
          <w:szCs w:val="20"/>
          <w:lang w:val="en-US"/>
        </w:rPr>
        <w:t xml:space="preserve"> for informational purposes and as a reference resource, should their content prove useful to other members.</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p>
    <w:p w:rsidR="00CA0493" w:rsidRDefault="00CA0493" w:rsidP="00CA0493">
      <w:pPr>
        <w:pStyle w:val="paragraph"/>
        <w:spacing w:before="0" w:beforeAutospacing="0" w:after="0" w:afterAutospacing="0"/>
        <w:jc w:val="both"/>
        <w:textAlignment w:val="baseline"/>
        <w:rPr>
          <w:rStyle w:val="eop"/>
          <w:rFonts w:ascii="Calibri" w:hAnsi="Calibri" w:cs="Calibri"/>
          <w:sz w:val="20"/>
          <w:szCs w:val="20"/>
          <w:lang w:val="en-US"/>
        </w:rPr>
      </w:pPr>
      <w:r w:rsidRPr="00CA0493">
        <w:rPr>
          <w:rStyle w:val="normaltextrun"/>
          <w:rFonts w:ascii="Calibri" w:hAnsi="Calibri" w:cs="Calibri"/>
          <w:i/>
          <w:iCs/>
          <w:sz w:val="20"/>
          <w:szCs w:val="20"/>
          <w:lang w:val="en-US"/>
        </w:rPr>
        <w:t>Background Information Provided to Statistical Classifications </w:t>
      </w:r>
      <w:proofErr w:type="spellStart"/>
      <w:r w:rsidRPr="00CA0493">
        <w:rPr>
          <w:rStyle w:val="normaltextrun"/>
          <w:rFonts w:ascii="Calibri" w:hAnsi="Calibri" w:cs="Calibri"/>
          <w:i/>
          <w:iCs/>
          <w:sz w:val="20"/>
          <w:szCs w:val="20"/>
          <w:lang w:val="en-US"/>
        </w:rPr>
        <w:t>chl</w:t>
      </w:r>
      <w:proofErr w:type="spellEnd"/>
      <w:r w:rsidRPr="00CA0493">
        <w:rPr>
          <w:rStyle w:val="normaltextrun"/>
          <w:rFonts w:ascii="Calibri" w:hAnsi="Calibri" w:cs="Calibri"/>
          <w:i/>
          <w:iCs/>
          <w:sz w:val="20"/>
          <w:szCs w:val="20"/>
          <w:lang w:val="en-US"/>
        </w:rPr>
        <w:t>-DESA (</w:t>
      </w:r>
      <w:hyperlink r:id="rId8" w:history="1">
        <w:r w:rsidRPr="00EE4D2C">
          <w:rPr>
            <w:rStyle w:val="Hipervnculo"/>
            <w:rFonts w:ascii="Calibri" w:hAnsi="Calibri" w:cs="Calibri"/>
            <w:i/>
            <w:iCs/>
            <w:sz w:val="20"/>
            <w:szCs w:val="20"/>
            <w:lang w:val="en-US"/>
          </w:rPr>
          <w:t>chl@un.org</w:t>
        </w:r>
      </w:hyperlink>
      <w:r w:rsidRPr="00CA0493">
        <w:rPr>
          <w:rStyle w:val="normaltextrun"/>
          <w:rFonts w:ascii="Calibri" w:hAnsi="Calibri" w:cs="Calibri"/>
          <w:i/>
          <w:iCs/>
          <w:sz w:val="20"/>
          <w:szCs w:val="20"/>
          <w:lang w:val="en-US"/>
        </w:rPr>
        <w:t>)</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 xml:space="preserve">We are currently developing the Admissibility Criteria, which consists of a set of principles, guidelines, and/or assessment tools that </w:t>
      </w:r>
      <w:proofErr w:type="gramStart"/>
      <w:r w:rsidRPr="00CA0493">
        <w:rPr>
          <w:rStyle w:val="normaltextrun"/>
          <w:rFonts w:ascii="Calibri" w:hAnsi="Calibri" w:cs="Calibri"/>
          <w:sz w:val="20"/>
          <w:szCs w:val="20"/>
          <w:lang w:val="en-US"/>
        </w:rPr>
        <w:t>will be used</w:t>
      </w:r>
      <w:proofErr w:type="gramEnd"/>
      <w:r w:rsidRPr="00CA0493">
        <w:rPr>
          <w:rStyle w:val="normaltextrun"/>
          <w:rFonts w:ascii="Calibri" w:hAnsi="Calibri" w:cs="Calibri"/>
          <w:sz w:val="20"/>
          <w:szCs w:val="20"/>
          <w:lang w:val="en-US"/>
        </w:rPr>
        <w:t xml:space="preserve"> to evaluate the relevance, feasibility, and legitimacy of proposals for the disaggregation and merging of ISIC Rev.5 categories submitted by users and producers during the national adaptation process.</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proofErr w:type="gramStart"/>
      <w:r w:rsidRPr="00CA0493">
        <w:rPr>
          <w:rStyle w:val="normaltextrun"/>
          <w:rFonts w:ascii="Calibri" w:hAnsi="Calibri" w:cs="Calibri"/>
          <w:sz w:val="20"/>
          <w:szCs w:val="20"/>
          <w:lang w:val="en-US"/>
        </w:rPr>
        <w:t>In preparing these Admissibility Criteria, we have reviewed a broad set of documents, including the Introduction to the International Standard Industrial Classification of All Economic Activities, Revision 5 (ISIC Rev.5) [2], the Australian and New Zealand Standard Industrial Classification (ANZSIC) [3], the International Standard Industrial Classification of All Economic Activities, Revision 3 (ISIC Rev.3) [4], and the Classification Glossary of Terms [5].</w:t>
      </w:r>
      <w:proofErr w:type="gramEnd"/>
      <w:r w:rsidRPr="00CA0493">
        <w:rPr>
          <w:rStyle w:val="normaltextrun"/>
          <w:rFonts w:ascii="Calibri" w:hAnsi="Calibri" w:cs="Calibri"/>
          <w:sz w:val="20"/>
          <w:szCs w:val="20"/>
          <w:lang w:val="en-US"/>
        </w:rPr>
        <w:t xml:space="preserve"> In this context, the concept of homogeneity has emerged as a potentially relevant criterion for assessing the internal coherence of categories and their conceptual consistency, particularly based on a statement in paragraph 184 of the ISIC Rev.5 introduction:</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“The calculation of homogeneity ratios may serve as a tool in determining the feasibility and usefulness of more detailed categories of the classification [2]</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 xml:space="preserve">According to ANZSIC, homogeneity within categories </w:t>
      </w:r>
      <w:proofErr w:type="gramStart"/>
      <w:r w:rsidRPr="00CA0493">
        <w:rPr>
          <w:rStyle w:val="normaltextrun"/>
          <w:rFonts w:ascii="Calibri" w:hAnsi="Calibri" w:cs="Calibri"/>
          <w:sz w:val="20"/>
          <w:szCs w:val="20"/>
          <w:lang w:val="en-US"/>
        </w:rPr>
        <w:t>can be measured</w:t>
      </w:r>
      <w:proofErr w:type="gramEnd"/>
      <w:r w:rsidRPr="00CA0493">
        <w:rPr>
          <w:rStyle w:val="normaltextrun"/>
          <w:rFonts w:ascii="Calibri" w:hAnsi="Calibri" w:cs="Calibri"/>
          <w:sz w:val="20"/>
          <w:szCs w:val="20"/>
          <w:lang w:val="en-US"/>
        </w:rPr>
        <w:t xml:space="preserve"> through homogeneity ratios, namely the coverage ratio and the specialization ratio. We have sought information on the calculation of these homogeneity ratios and have found several definitions that are consistent with one another and show overall conceptual alignment:</w:t>
      </w:r>
      <w:r w:rsidRPr="00CA0493">
        <w:rPr>
          <w:rStyle w:val="eop"/>
          <w:rFonts w:ascii="Calibri" w:hAnsi="Calibri" w:cs="Calibri"/>
          <w:sz w:val="20"/>
          <w:szCs w:val="20"/>
          <w:lang w:val="en-US"/>
        </w:rPr>
        <w:t> </w:t>
      </w:r>
    </w:p>
    <w:p w:rsidR="00CA0493" w:rsidRDefault="00CA0493" w:rsidP="00CA0493">
      <w:pPr>
        <w:pStyle w:val="paragraph"/>
        <w:spacing w:before="0" w:beforeAutospacing="0" w:after="0" w:afterAutospacing="0"/>
        <w:jc w:val="both"/>
        <w:textAlignment w:val="baseline"/>
        <w:rPr>
          <w:rStyle w:val="normaltextrun"/>
          <w:rFonts w:ascii="Calibri" w:hAnsi="Calibri" w:cs="Calibri"/>
          <w:b/>
          <w:bCs/>
          <w:sz w:val="20"/>
          <w:szCs w:val="20"/>
          <w:lang w:val="en-US"/>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b/>
          <w:bCs/>
          <w:sz w:val="20"/>
          <w:szCs w:val="20"/>
          <w:lang w:val="en-US"/>
        </w:rPr>
        <w:t>Coverage ratio:</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 xml:space="preserve">Measures the extent to which observations designated as primary for a given category </w:t>
      </w:r>
      <w:proofErr w:type="gramStart"/>
      <w:r w:rsidRPr="00CA0493">
        <w:rPr>
          <w:rStyle w:val="normaltextrun"/>
          <w:rFonts w:ascii="Calibri" w:hAnsi="Calibri" w:cs="Calibri"/>
          <w:sz w:val="20"/>
          <w:szCs w:val="20"/>
          <w:lang w:val="en-US"/>
        </w:rPr>
        <w:t>are carried out</w:t>
      </w:r>
      <w:proofErr w:type="gramEnd"/>
      <w:r w:rsidRPr="00CA0493">
        <w:rPr>
          <w:rStyle w:val="normaltextrun"/>
          <w:rFonts w:ascii="Calibri" w:hAnsi="Calibri" w:cs="Calibri"/>
          <w:sz w:val="20"/>
          <w:szCs w:val="20"/>
          <w:lang w:val="en-US"/>
        </w:rPr>
        <w:t xml:space="preserve"> by units that are mainly engaged in the observations related to that category. In industrial statistics, the coverage ratio is the production of goods and services characteristic of a given industry as a proportion of the total production of those same goods and services by the economy as a whole [5].</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The coverage ratio is the production of goods or services characteristic of the industry as a proportion of the total production of those same goods or services by the economy as a whole [</w:t>
      </w:r>
      <w:proofErr w:type="gramStart"/>
      <w:r w:rsidRPr="00CA0493">
        <w:rPr>
          <w:rStyle w:val="normaltextrun"/>
          <w:rFonts w:ascii="Calibri" w:hAnsi="Calibri" w:cs="Calibri"/>
          <w:sz w:val="20"/>
          <w:szCs w:val="20"/>
          <w:lang w:val="en-US"/>
        </w:rPr>
        <w:t>4</w:t>
      </w:r>
      <w:proofErr w:type="gramEnd"/>
      <w:r w:rsidRPr="00CA0493">
        <w:rPr>
          <w:rStyle w:val="normaltextrun"/>
          <w:rFonts w:ascii="Calibri" w:hAnsi="Calibri" w:cs="Calibri"/>
          <w:sz w:val="20"/>
          <w:szCs w:val="20"/>
          <w:lang w:val="en-US"/>
        </w:rPr>
        <w:t>; E-155].</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 xml:space="preserve">The </w:t>
      </w:r>
      <w:proofErr w:type="gramStart"/>
      <w:r w:rsidRPr="00CA0493">
        <w:rPr>
          <w:rStyle w:val="normaltextrun"/>
          <w:rFonts w:ascii="Calibri" w:hAnsi="Calibri" w:cs="Calibri"/>
          <w:sz w:val="20"/>
          <w:szCs w:val="20"/>
          <w:lang w:val="en-US"/>
        </w:rPr>
        <w:t>coverage ratio measures the degree to which the activities assigned to a given class are carried out by the units belonging to that class [3]</w:t>
      </w:r>
      <w:proofErr w:type="gramEnd"/>
      <w:r w:rsidRPr="00CA0493">
        <w:rPr>
          <w:rStyle w:val="normaltextrun"/>
          <w:rFonts w:ascii="Calibri" w:hAnsi="Calibri" w:cs="Calibri"/>
          <w:sz w:val="20"/>
          <w:szCs w:val="20"/>
          <w:lang w:val="en-US"/>
        </w:rPr>
        <w:t>.</w:t>
      </w:r>
      <w:r w:rsidRPr="00CA0493">
        <w:rPr>
          <w:rStyle w:val="eop"/>
          <w:rFonts w:ascii="Calibri" w:hAnsi="Calibri" w:cs="Calibri"/>
          <w:sz w:val="20"/>
          <w:szCs w:val="20"/>
          <w:lang w:val="en-US"/>
        </w:rPr>
        <w:t> </w:t>
      </w:r>
    </w:p>
    <w:p w:rsidR="00CA0493" w:rsidRDefault="00CA0493" w:rsidP="00CA0493">
      <w:pPr>
        <w:pStyle w:val="paragraph"/>
        <w:spacing w:before="0" w:beforeAutospacing="0" w:after="0" w:afterAutospacing="0"/>
        <w:jc w:val="both"/>
        <w:textAlignment w:val="baseline"/>
        <w:rPr>
          <w:rStyle w:val="normaltextrun"/>
          <w:rFonts w:ascii="Calibri" w:hAnsi="Calibri" w:cs="Calibri"/>
          <w:b/>
          <w:bCs/>
          <w:sz w:val="20"/>
          <w:szCs w:val="20"/>
          <w:lang w:val="en-US"/>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b/>
          <w:bCs/>
          <w:sz w:val="20"/>
          <w:szCs w:val="20"/>
          <w:lang w:val="en-US"/>
        </w:rPr>
        <w:t>Specialization ratio:</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 xml:space="preserve">Helps assess the homogeneity of categories within a classification. Specialization coefficients measure the extent to which the observations contained within a category are representative of the total set of those </w:t>
      </w:r>
      <w:r w:rsidRPr="00CA0493">
        <w:rPr>
          <w:rStyle w:val="normaltextrun"/>
          <w:rFonts w:ascii="Calibri" w:hAnsi="Calibri" w:cs="Calibri"/>
          <w:sz w:val="20"/>
          <w:szCs w:val="20"/>
          <w:lang w:val="en-US"/>
        </w:rPr>
        <w:lastRenderedPageBreak/>
        <w:t>observations (for example, in industrial statistics, the specialization coefficient is the production by an industry of goods and services characteristic of that industry as a proportion of its total production) [5].</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The specialization ratio of an industry is the production of goods or services characteristic of that industry as a proportion of its total production [</w:t>
      </w:r>
      <w:proofErr w:type="gramStart"/>
      <w:r w:rsidRPr="00CA0493">
        <w:rPr>
          <w:rStyle w:val="normaltextrun"/>
          <w:rFonts w:ascii="Calibri" w:hAnsi="Calibri" w:cs="Calibri"/>
          <w:sz w:val="20"/>
          <w:szCs w:val="20"/>
          <w:lang w:val="en-US"/>
        </w:rPr>
        <w:t>4</w:t>
      </w:r>
      <w:proofErr w:type="gramEnd"/>
      <w:r w:rsidRPr="00CA0493">
        <w:rPr>
          <w:rStyle w:val="normaltextrun"/>
          <w:rFonts w:ascii="Calibri" w:hAnsi="Calibri" w:cs="Calibri"/>
          <w:sz w:val="20"/>
          <w:szCs w:val="20"/>
          <w:lang w:val="en-US"/>
        </w:rPr>
        <w:t>; E-155].</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The specialization ratio measures the degree to which units belonging to a given class carry out the activities designated as primary for that class [3].</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References</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[1] Statistical Commission. (1999). </w:t>
      </w:r>
      <w:r w:rsidRPr="00CA0493">
        <w:rPr>
          <w:rStyle w:val="normaltextrun"/>
          <w:rFonts w:ascii="Calibri" w:hAnsi="Calibri" w:cs="Calibri"/>
          <w:i/>
          <w:iCs/>
          <w:sz w:val="20"/>
          <w:szCs w:val="20"/>
          <w:lang w:val="en-US"/>
        </w:rPr>
        <w:t>Basic principles of national official statistics</w:t>
      </w:r>
      <w:r w:rsidRPr="00CA0493">
        <w:rPr>
          <w:rStyle w:val="normaltextrun"/>
          <w:rFonts w:ascii="Calibri" w:hAnsi="Calibri" w:cs="Calibri"/>
          <w:sz w:val="20"/>
          <w:szCs w:val="20"/>
          <w:lang w:val="en-US"/>
        </w:rPr>
        <w:t>. United Nations, Statistics Division.</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[2] United Nations Statistics Division. (2024). Introduction of the Standard Industrial Classification of All Economic Activities, Revision 5 (ISIC Rev.5).</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[3] Australian Bureau of Statistics. (2013). </w:t>
      </w:r>
      <w:r w:rsidRPr="00CA0493">
        <w:rPr>
          <w:rStyle w:val="normaltextrun"/>
          <w:rFonts w:ascii="Calibri" w:hAnsi="Calibri" w:cs="Calibri"/>
          <w:i/>
          <w:iCs/>
          <w:sz w:val="20"/>
          <w:szCs w:val="20"/>
          <w:lang w:val="en-US"/>
        </w:rPr>
        <w:t>Nature and objectives of the classification</w:t>
      </w:r>
      <w:r w:rsidRPr="00CA0493">
        <w:rPr>
          <w:rStyle w:val="normaltextrun"/>
          <w:rFonts w:ascii="Calibri" w:hAnsi="Calibri" w:cs="Calibri"/>
          <w:sz w:val="20"/>
          <w:szCs w:val="20"/>
          <w:lang w:val="en-US"/>
        </w:rPr>
        <w:t> (Australian and New Zealand Standard Industrial Classification (ANZSIC), 2006 Revision 2.0</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[4] United Nations Statistics Division. (1990). </w:t>
      </w:r>
      <w:r w:rsidRPr="00CA0493">
        <w:rPr>
          <w:rStyle w:val="normaltextrun"/>
          <w:rFonts w:ascii="Calibri" w:hAnsi="Calibri" w:cs="Calibri"/>
          <w:i/>
          <w:iCs/>
          <w:sz w:val="20"/>
          <w:szCs w:val="20"/>
          <w:lang w:val="en-US"/>
        </w:rPr>
        <w:t>International Standard Industrial Classification of All Economic Activities (ISIC), Revision 3</w:t>
      </w:r>
      <w:r w:rsidRPr="00CA0493">
        <w:rPr>
          <w:rStyle w:val="normaltextrun"/>
          <w:rFonts w:ascii="Calibri" w:hAnsi="Calibri" w:cs="Calibri"/>
          <w:sz w:val="20"/>
          <w:szCs w:val="20"/>
          <w:lang w:val="en-US"/>
        </w:rPr>
        <w:t>. United Nations</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[5] United Nations Statistics Division. (</w:t>
      </w:r>
      <w:proofErr w:type="gramStart"/>
      <w:r w:rsidRPr="00CA0493">
        <w:rPr>
          <w:rStyle w:val="normaltextrun"/>
          <w:rFonts w:ascii="Calibri" w:hAnsi="Calibri" w:cs="Calibri"/>
          <w:sz w:val="20"/>
          <w:szCs w:val="20"/>
          <w:lang w:val="en-US"/>
        </w:rPr>
        <w:t>s</w:t>
      </w:r>
      <w:proofErr w:type="gramEnd"/>
      <w:r w:rsidRPr="00CA0493">
        <w:rPr>
          <w:rStyle w:val="normaltextrun"/>
          <w:rFonts w:ascii="Calibri" w:hAnsi="Calibri" w:cs="Calibri"/>
          <w:sz w:val="20"/>
          <w:szCs w:val="20"/>
          <w:lang w:val="en-US"/>
        </w:rPr>
        <w:t>. f.). Glossary of classification terms (short version).</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b/>
          <w:bCs/>
          <w:sz w:val="20"/>
          <w:szCs w:val="20"/>
          <w:lang w:val="en-US"/>
        </w:rPr>
        <w:t>Question 1</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What is the definition of the homogeneity coefficient referred to in ISIC</w:t>
      </w:r>
      <w:proofErr w:type="gramStart"/>
      <w:r w:rsidRPr="00CA0493">
        <w:rPr>
          <w:rStyle w:val="normaltextrun"/>
          <w:rFonts w:ascii="Calibri" w:hAnsi="Calibri" w:cs="Calibri"/>
          <w:sz w:val="20"/>
          <w:szCs w:val="20"/>
          <w:lang w:val="en-US"/>
        </w:rPr>
        <w:t>? </w:t>
      </w:r>
      <w:proofErr w:type="gramEnd"/>
      <w:r w:rsidRPr="00CA0493">
        <w:rPr>
          <w:rStyle w:val="normaltextrun"/>
          <w:rFonts w:ascii="Calibri" w:hAnsi="Calibri" w:cs="Calibri"/>
          <w:sz w:val="20"/>
          <w:szCs w:val="20"/>
          <w:lang w:val="en-US"/>
        </w:rPr>
        <w:t> </w:t>
      </w:r>
      <w:r w:rsidRPr="00CA0493">
        <w:rPr>
          <w:rStyle w:val="eop"/>
          <w:rFonts w:ascii="Calibri" w:hAnsi="Calibri" w:cs="Calibri"/>
          <w:sz w:val="20"/>
          <w:szCs w:val="20"/>
          <w:lang w:val="en-US"/>
        </w:rPr>
        <w:t> </w:t>
      </w:r>
    </w:p>
    <w:p w:rsidR="00CA0493" w:rsidRDefault="00CA0493" w:rsidP="00CA0493">
      <w:pPr>
        <w:pStyle w:val="paragraph"/>
        <w:spacing w:before="0" w:beforeAutospacing="0" w:after="0" w:afterAutospacing="0"/>
        <w:jc w:val="both"/>
        <w:textAlignment w:val="baseline"/>
        <w:rPr>
          <w:rStyle w:val="normaltextrun"/>
          <w:rFonts w:ascii="Calibri" w:hAnsi="Calibri" w:cs="Calibri"/>
          <w:b/>
          <w:bCs/>
          <w:sz w:val="20"/>
          <w:szCs w:val="20"/>
          <w:lang w:val="en-US"/>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b/>
          <w:bCs/>
          <w:sz w:val="20"/>
          <w:szCs w:val="20"/>
          <w:lang w:val="en-US"/>
        </w:rPr>
        <w:t xml:space="preserve">Answer </w:t>
      </w:r>
      <w:proofErr w:type="gramStart"/>
      <w:r w:rsidRPr="00CA0493">
        <w:rPr>
          <w:rStyle w:val="normaltextrun"/>
          <w:rFonts w:ascii="Calibri" w:hAnsi="Calibri" w:cs="Calibri"/>
          <w:b/>
          <w:bCs/>
          <w:sz w:val="20"/>
          <w:szCs w:val="20"/>
          <w:lang w:val="en-US"/>
        </w:rPr>
        <w:t>1</w:t>
      </w:r>
      <w:proofErr w:type="gramEnd"/>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 xml:space="preserve">The “homogeneity ratios” mentioned in ISIC Rev. </w:t>
      </w:r>
      <w:proofErr w:type="gramStart"/>
      <w:r w:rsidRPr="00CA0493">
        <w:rPr>
          <w:rStyle w:val="normaltextrun"/>
          <w:rFonts w:ascii="Calibri" w:hAnsi="Calibri" w:cs="Calibri"/>
          <w:sz w:val="20"/>
          <w:szCs w:val="20"/>
          <w:lang w:val="en-US"/>
        </w:rPr>
        <w:t>5</w:t>
      </w:r>
      <w:proofErr w:type="gramEnd"/>
      <w:r w:rsidRPr="00CA0493">
        <w:rPr>
          <w:rStyle w:val="normaltextrun"/>
          <w:rFonts w:ascii="Calibri" w:hAnsi="Calibri" w:cs="Calibri"/>
          <w:sz w:val="20"/>
          <w:szCs w:val="20"/>
          <w:lang w:val="en-US"/>
        </w:rPr>
        <w:t xml:space="preserve"> simply refer to the two ratios you mention:  coverage ratio and specialization ratio.  It does not have any further specific definition or scope</w:t>
      </w:r>
      <w:r w:rsidRPr="00CA0493">
        <w:rPr>
          <w:rStyle w:val="eop"/>
          <w:rFonts w:ascii="Calibri" w:hAnsi="Calibri" w:cs="Calibri"/>
          <w:sz w:val="20"/>
          <w:szCs w:val="20"/>
          <w:lang w:val="en-US"/>
        </w:rPr>
        <w:t> </w:t>
      </w:r>
    </w:p>
    <w:p w:rsidR="00CA0493" w:rsidRDefault="00CA0493" w:rsidP="00CA0493">
      <w:pPr>
        <w:pStyle w:val="paragraph"/>
        <w:spacing w:before="0" w:beforeAutospacing="0" w:after="0" w:afterAutospacing="0"/>
        <w:jc w:val="both"/>
        <w:textAlignment w:val="baseline"/>
        <w:rPr>
          <w:rStyle w:val="normaltextrun"/>
          <w:rFonts w:ascii="Calibri" w:hAnsi="Calibri" w:cs="Calibri"/>
          <w:b/>
          <w:bCs/>
          <w:sz w:val="20"/>
          <w:szCs w:val="20"/>
          <w:lang w:val="en-US"/>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b/>
          <w:bCs/>
          <w:sz w:val="20"/>
          <w:szCs w:val="20"/>
          <w:lang w:val="en-US"/>
        </w:rPr>
        <w:t>Question 2</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What is the formula used for its calculation? Could you please provide an example?</w:t>
      </w:r>
      <w:r w:rsidRPr="00CA0493">
        <w:rPr>
          <w:rStyle w:val="eop"/>
          <w:rFonts w:ascii="Calibri" w:hAnsi="Calibri" w:cs="Calibri"/>
          <w:sz w:val="20"/>
          <w:szCs w:val="20"/>
          <w:lang w:val="en-US"/>
        </w:rPr>
        <w:t> </w:t>
      </w:r>
    </w:p>
    <w:p w:rsidR="00CA0493" w:rsidRDefault="00CA0493" w:rsidP="00CA0493">
      <w:pPr>
        <w:pStyle w:val="paragraph"/>
        <w:spacing w:before="0" w:beforeAutospacing="0" w:after="0" w:afterAutospacing="0"/>
        <w:jc w:val="both"/>
        <w:textAlignment w:val="baseline"/>
        <w:rPr>
          <w:rStyle w:val="normaltextrun"/>
          <w:rFonts w:ascii="Calibri" w:hAnsi="Calibri" w:cs="Calibri"/>
          <w:b/>
          <w:bCs/>
          <w:sz w:val="20"/>
          <w:szCs w:val="20"/>
          <w:lang w:val="en-US"/>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b/>
          <w:bCs/>
          <w:sz w:val="20"/>
          <w:szCs w:val="20"/>
          <w:lang w:val="en-US"/>
        </w:rPr>
        <w:t xml:space="preserve">Answer </w:t>
      </w:r>
      <w:proofErr w:type="gramStart"/>
      <w:r w:rsidRPr="00CA0493">
        <w:rPr>
          <w:rStyle w:val="normaltextrun"/>
          <w:rFonts w:ascii="Calibri" w:hAnsi="Calibri" w:cs="Calibri"/>
          <w:b/>
          <w:bCs/>
          <w:sz w:val="20"/>
          <w:szCs w:val="20"/>
          <w:lang w:val="en-US"/>
        </w:rPr>
        <w:t>2</w:t>
      </w:r>
      <w:proofErr w:type="gramEnd"/>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More information on these two ratios is available in ISIC Rev. 3.1, paragraphs 128-132, though you have already noted most of this information (please see </w:t>
      </w:r>
      <w:hyperlink r:id="rId9" w:tgtFrame="_blank" w:history="1">
        <w:r w:rsidRPr="00CA0493">
          <w:rPr>
            <w:rStyle w:val="normaltextrun"/>
            <w:rFonts w:ascii="Calibri" w:hAnsi="Calibri" w:cs="Calibri"/>
            <w:color w:val="467886"/>
            <w:sz w:val="20"/>
            <w:szCs w:val="20"/>
            <w:u w:val="single"/>
            <w:lang w:val="en-US"/>
          </w:rPr>
          <w:t>https://unstats.un.org/unsd/classifications/Econ/Download/In%20Text/Isic31_English.pdf</w:t>
        </w:r>
      </w:hyperlink>
      <w:r w:rsidRPr="00CA0493">
        <w:rPr>
          <w:rStyle w:val="normaltextrun"/>
          <w:rFonts w:ascii="Calibri" w:hAnsi="Calibri" w:cs="Calibri"/>
          <w:sz w:val="20"/>
          <w:szCs w:val="20"/>
          <w:lang w:val="en-US"/>
        </w:rPr>
        <w:t>)</w:t>
      </w:r>
      <w:r w:rsidRPr="00CA0493">
        <w:rPr>
          <w:rStyle w:val="eop"/>
          <w:rFonts w:ascii="Calibri" w:hAnsi="Calibri" w:cs="Calibri"/>
          <w:sz w:val="20"/>
          <w:szCs w:val="20"/>
          <w:lang w:val="en-US"/>
        </w:rPr>
        <w:t> </w:t>
      </w:r>
    </w:p>
    <w:p w:rsidR="00CA0493" w:rsidRDefault="00CA0493" w:rsidP="00CA0493">
      <w:pPr>
        <w:pStyle w:val="paragraph"/>
        <w:spacing w:before="0" w:beforeAutospacing="0" w:after="0" w:afterAutospacing="0"/>
        <w:jc w:val="both"/>
        <w:textAlignment w:val="baseline"/>
        <w:rPr>
          <w:rStyle w:val="normaltextrun"/>
          <w:rFonts w:ascii="Calibri" w:hAnsi="Calibri" w:cs="Calibri"/>
          <w:b/>
          <w:bCs/>
          <w:sz w:val="20"/>
          <w:szCs w:val="20"/>
          <w:lang w:val="en-US"/>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b/>
          <w:bCs/>
          <w:sz w:val="20"/>
          <w:szCs w:val="20"/>
          <w:lang w:val="en-US"/>
        </w:rPr>
        <w:t>Question 3</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Do you consider it relevant for National Statistical Offices to apply this criterion when making decisions regarding requests for new </w:t>
      </w:r>
      <w:proofErr w:type="spellStart"/>
      <w:r w:rsidRPr="00CA0493">
        <w:rPr>
          <w:rStyle w:val="normaltextrun"/>
          <w:rFonts w:ascii="Calibri" w:hAnsi="Calibri" w:cs="Calibri"/>
          <w:sz w:val="20"/>
          <w:szCs w:val="20"/>
          <w:lang w:val="en-US"/>
        </w:rPr>
        <w:t>disaggregations</w:t>
      </w:r>
      <w:proofErr w:type="spellEnd"/>
      <w:r w:rsidRPr="00CA0493">
        <w:rPr>
          <w:rStyle w:val="normaltextrun"/>
          <w:rFonts w:ascii="Calibri" w:hAnsi="Calibri" w:cs="Calibri"/>
          <w:sz w:val="20"/>
          <w:szCs w:val="20"/>
          <w:lang w:val="en-US"/>
        </w:rPr>
        <w:t>?</w:t>
      </w:r>
      <w:r w:rsidRPr="00CA0493">
        <w:rPr>
          <w:rStyle w:val="eop"/>
          <w:rFonts w:ascii="Calibri" w:hAnsi="Calibri" w:cs="Calibri"/>
          <w:sz w:val="20"/>
          <w:szCs w:val="20"/>
          <w:lang w:val="en-US"/>
        </w:rPr>
        <w:t> </w:t>
      </w:r>
    </w:p>
    <w:p w:rsidR="00CA0493" w:rsidRDefault="00CA0493" w:rsidP="00CA0493">
      <w:pPr>
        <w:pStyle w:val="paragraph"/>
        <w:spacing w:before="0" w:beforeAutospacing="0" w:after="0" w:afterAutospacing="0"/>
        <w:jc w:val="both"/>
        <w:textAlignment w:val="baseline"/>
        <w:rPr>
          <w:rStyle w:val="normaltextrun"/>
          <w:rFonts w:ascii="Calibri" w:hAnsi="Calibri" w:cs="Calibri"/>
          <w:b/>
          <w:bCs/>
          <w:sz w:val="20"/>
          <w:szCs w:val="20"/>
          <w:lang w:val="en-US"/>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b/>
          <w:bCs/>
          <w:sz w:val="20"/>
          <w:szCs w:val="20"/>
          <w:lang w:val="en-US"/>
        </w:rPr>
        <w:t xml:space="preserve">Answer </w:t>
      </w:r>
      <w:proofErr w:type="gramStart"/>
      <w:r w:rsidRPr="00CA0493">
        <w:rPr>
          <w:rStyle w:val="normaltextrun"/>
          <w:rFonts w:ascii="Calibri" w:hAnsi="Calibri" w:cs="Calibri"/>
          <w:b/>
          <w:bCs/>
          <w:sz w:val="20"/>
          <w:szCs w:val="20"/>
          <w:lang w:val="en-US"/>
        </w:rPr>
        <w:t>3</w:t>
      </w:r>
      <w:proofErr w:type="gramEnd"/>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 xml:space="preserve">The previously mentioned lead of the ISIC Rev. 4 revision provided some context as to why these references </w:t>
      </w:r>
      <w:proofErr w:type="gramStart"/>
      <w:r w:rsidRPr="00CA0493">
        <w:rPr>
          <w:rStyle w:val="normaltextrun"/>
          <w:rFonts w:ascii="Calibri" w:hAnsi="Calibri" w:cs="Calibri"/>
          <w:sz w:val="20"/>
          <w:szCs w:val="20"/>
          <w:lang w:val="en-US"/>
        </w:rPr>
        <w:t>were removed</w:t>
      </w:r>
      <w:proofErr w:type="gramEnd"/>
      <w:r w:rsidRPr="00CA0493">
        <w:rPr>
          <w:rStyle w:val="normaltextrun"/>
          <w:rFonts w:ascii="Calibri" w:hAnsi="Calibri" w:cs="Calibri"/>
          <w:sz w:val="20"/>
          <w:szCs w:val="20"/>
          <w:lang w:val="en-US"/>
        </w:rPr>
        <w:t xml:space="preserve"> from ISIC Rev. 4 (and subsequently, Rev. 5).  In short, due to the high cost of collecting the required data, very few countries were calculating these ratios: </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“To make these ratios a useful tool, a lot of product data is needed, even if they are calculated just for a smaller set of industries. The product could also be produced by industries (as a secondary product) that are classified not close to the industry considered, so the net has to be cast </w:t>
      </w:r>
      <w:proofErr w:type="gramStart"/>
      <w:r w:rsidRPr="00CA0493">
        <w:rPr>
          <w:rStyle w:val="normaltextrun"/>
          <w:rFonts w:ascii="Calibri" w:hAnsi="Calibri" w:cs="Calibri"/>
          <w:sz w:val="20"/>
          <w:szCs w:val="20"/>
          <w:lang w:val="en-US"/>
        </w:rPr>
        <w:t>fairly wide</w:t>
      </w:r>
      <w:proofErr w:type="gramEnd"/>
      <w:r w:rsidRPr="00CA0493">
        <w:rPr>
          <w:rStyle w:val="normaltextrun"/>
          <w:rFonts w:ascii="Calibri" w:hAnsi="Calibri" w:cs="Calibri"/>
          <w:sz w:val="20"/>
          <w:szCs w:val="20"/>
          <w:lang w:val="en-US"/>
        </w:rPr>
        <w:t xml:space="preserve">. If additional details </w:t>
      </w:r>
      <w:proofErr w:type="gramStart"/>
      <w:r w:rsidRPr="00CA0493">
        <w:rPr>
          <w:rStyle w:val="normaltextrun"/>
          <w:rFonts w:ascii="Calibri" w:hAnsi="Calibri" w:cs="Calibri"/>
          <w:sz w:val="20"/>
          <w:szCs w:val="20"/>
          <w:lang w:val="en-US"/>
        </w:rPr>
        <w:t>are planned</w:t>
      </w:r>
      <w:proofErr w:type="gramEnd"/>
      <w:r w:rsidRPr="00CA0493">
        <w:rPr>
          <w:rStyle w:val="normaltextrun"/>
          <w:rFonts w:ascii="Calibri" w:hAnsi="Calibri" w:cs="Calibri"/>
          <w:sz w:val="20"/>
          <w:szCs w:val="20"/>
          <w:lang w:val="en-US"/>
        </w:rPr>
        <w:t>, then one would also need to agree on (or define) the sets of characteristic products (primary products) at such new levels, which may need multiple iterations to maximize the ratios. (I had several discussions with countries on plans for additional breakdowns, which usually failed at that step)”  </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As additionally noted in ISIC Rev. 3.1, paragraph 130, use of these ratios is complex, and provides “no guarantee of useful statistics”</w:t>
      </w:r>
      <w:r w:rsidRPr="00CA0493">
        <w:rPr>
          <w:rStyle w:val="eop"/>
          <w:rFonts w:ascii="Calibri" w:hAnsi="Calibri" w:cs="Calibri"/>
          <w:sz w:val="20"/>
          <w:szCs w:val="20"/>
          <w:lang w:val="en-US"/>
        </w:rPr>
        <w:t> </w:t>
      </w:r>
    </w:p>
    <w:p w:rsidR="00CA0493" w:rsidRDefault="00CA0493" w:rsidP="00CA0493">
      <w:pPr>
        <w:pStyle w:val="paragraph"/>
        <w:spacing w:before="0" w:beforeAutospacing="0" w:after="0" w:afterAutospacing="0"/>
        <w:jc w:val="both"/>
        <w:textAlignment w:val="baseline"/>
        <w:rPr>
          <w:rStyle w:val="normaltextrun"/>
          <w:rFonts w:ascii="Calibri" w:hAnsi="Calibri" w:cs="Calibri"/>
          <w:b/>
          <w:bCs/>
          <w:sz w:val="20"/>
          <w:szCs w:val="20"/>
          <w:lang w:val="en-US"/>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b/>
          <w:bCs/>
          <w:sz w:val="20"/>
          <w:szCs w:val="20"/>
          <w:lang w:val="en-US"/>
        </w:rPr>
        <w:t>Question 4</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Are you aware of countries that use this criterion to define categories in their national adaptations?</w:t>
      </w:r>
      <w:r w:rsidRPr="00CA0493">
        <w:rPr>
          <w:rStyle w:val="eop"/>
          <w:rFonts w:ascii="Calibri" w:hAnsi="Calibri" w:cs="Calibri"/>
          <w:sz w:val="20"/>
          <w:szCs w:val="20"/>
          <w:lang w:val="en-US"/>
        </w:rPr>
        <w:t> </w:t>
      </w:r>
    </w:p>
    <w:p w:rsidR="00CA0493" w:rsidRDefault="00CA0493" w:rsidP="00CA0493">
      <w:pPr>
        <w:pStyle w:val="paragraph"/>
        <w:spacing w:before="0" w:beforeAutospacing="0" w:after="0" w:afterAutospacing="0"/>
        <w:jc w:val="both"/>
        <w:textAlignment w:val="baseline"/>
        <w:rPr>
          <w:rStyle w:val="normaltextrun"/>
          <w:rFonts w:ascii="Calibri" w:hAnsi="Calibri" w:cs="Calibri"/>
          <w:b/>
          <w:bCs/>
          <w:sz w:val="20"/>
          <w:szCs w:val="20"/>
          <w:lang w:val="en-US"/>
        </w:rPr>
      </w:pP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b/>
          <w:bCs/>
          <w:sz w:val="20"/>
          <w:szCs w:val="20"/>
          <w:lang w:val="en-US"/>
        </w:rPr>
        <w:t xml:space="preserve">Answer </w:t>
      </w:r>
      <w:proofErr w:type="gramStart"/>
      <w:r w:rsidRPr="00CA0493">
        <w:rPr>
          <w:rStyle w:val="normaltextrun"/>
          <w:rFonts w:ascii="Calibri" w:hAnsi="Calibri" w:cs="Calibri"/>
          <w:b/>
          <w:bCs/>
          <w:sz w:val="20"/>
          <w:szCs w:val="20"/>
          <w:lang w:val="en-US"/>
        </w:rPr>
        <w:t>4</w:t>
      </w:r>
      <w:proofErr w:type="gramEnd"/>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lastRenderedPageBreak/>
        <w:t>We were informed that the United States and Canada used to calculate these ratios, but discontinued long ago.  However, a useful methodological paper was published by Statistics Canada ( </w:t>
      </w:r>
      <w:hyperlink r:id="rId10" w:tgtFrame="_blank" w:history="1">
        <w:r w:rsidRPr="00CA0493">
          <w:rPr>
            <w:rStyle w:val="normaltextrun"/>
            <w:rFonts w:ascii="Calibri" w:hAnsi="Calibri" w:cs="Calibri"/>
            <w:color w:val="467886"/>
            <w:sz w:val="20"/>
            <w:szCs w:val="20"/>
            <w:u w:val="single"/>
            <w:lang w:val="en-US"/>
          </w:rPr>
          <w:t>https://www150.statcan.gc.ca/n1/en/pub/61f0041m/61f0041m1997001-eng.pdf?st=v8QB3t9o</w:t>
        </w:r>
      </w:hyperlink>
      <w:r w:rsidRPr="00CA0493">
        <w:rPr>
          <w:rStyle w:val="normaltextrun"/>
          <w:rFonts w:ascii="Calibri" w:hAnsi="Calibri" w:cs="Calibri"/>
          <w:sz w:val="20"/>
          <w:szCs w:val="20"/>
          <w:lang w:val="en-US"/>
        </w:rPr>
        <w:t>) back in 1997     </w:t>
      </w:r>
      <w:r w:rsidRPr="00CA0493">
        <w:rPr>
          <w:rStyle w:val="eop"/>
          <w:rFonts w:ascii="Calibri" w:hAnsi="Calibri" w:cs="Calibri"/>
          <w:sz w:val="20"/>
          <w:szCs w:val="20"/>
          <w:lang w:val="en-US"/>
        </w:rPr>
        <w:t> </w:t>
      </w:r>
    </w:p>
    <w:p w:rsidR="00CA0493" w:rsidRPr="00CA0493" w:rsidRDefault="00CA0493" w:rsidP="00CA0493">
      <w:pPr>
        <w:pStyle w:val="paragraph"/>
        <w:spacing w:before="0" w:beforeAutospacing="0" w:after="0" w:afterAutospacing="0"/>
        <w:jc w:val="both"/>
        <w:textAlignment w:val="baseline"/>
        <w:rPr>
          <w:rFonts w:ascii="Calibri" w:hAnsi="Calibri" w:cs="Calibri"/>
          <w:sz w:val="20"/>
          <w:szCs w:val="20"/>
          <w:lang w:val="en-US"/>
        </w:rPr>
      </w:pPr>
      <w:r w:rsidRPr="00CA0493">
        <w:rPr>
          <w:rStyle w:val="normaltextrun"/>
          <w:rFonts w:ascii="Calibri" w:hAnsi="Calibri" w:cs="Calibri"/>
          <w:sz w:val="20"/>
          <w:szCs w:val="20"/>
          <w:lang w:val="en-US"/>
        </w:rPr>
        <w:t>The Australian Bureau of Statistics also provides some background information on their current national adaptation.  They are discussing whether their newest version will utilize these ratios  (</w:t>
      </w:r>
      <w:hyperlink r:id="rId11" w:tgtFrame="_blank" w:history="1">
        <w:r w:rsidRPr="00CA0493">
          <w:rPr>
            <w:rStyle w:val="normaltextrun"/>
            <w:rFonts w:ascii="Calibri" w:hAnsi="Calibri" w:cs="Calibri"/>
            <w:color w:val="467886"/>
            <w:sz w:val="20"/>
            <w:szCs w:val="20"/>
            <w:u w:val="single"/>
            <w:lang w:val="en-US"/>
          </w:rPr>
          <w:t>https://www.abs.gov.au/statistics/classifications/australian-and-new-zealand-standard-industrial-classification-anzsic/2006-revision-2-0/nature-and-objectives-classification#industry-homogeneity</w:t>
        </w:r>
      </w:hyperlink>
      <w:r w:rsidRPr="00CA0493">
        <w:rPr>
          <w:rStyle w:val="normaltextrun"/>
          <w:rFonts w:ascii="Calibri" w:hAnsi="Calibri" w:cs="Calibri"/>
          <w:sz w:val="20"/>
          <w:szCs w:val="20"/>
          <w:lang w:val="en-US"/>
        </w:rPr>
        <w:t>)</w:t>
      </w:r>
      <w:r w:rsidRPr="00CA0493">
        <w:rPr>
          <w:rStyle w:val="eop"/>
          <w:rFonts w:ascii="Calibri" w:hAnsi="Calibri" w:cs="Calibri"/>
          <w:sz w:val="20"/>
          <w:szCs w:val="20"/>
          <w:lang w:val="en-US"/>
        </w:rPr>
        <w:t> </w:t>
      </w:r>
    </w:p>
    <w:p w:rsidR="006D24F6" w:rsidRPr="00CA0493" w:rsidRDefault="006D24F6">
      <w:pPr>
        <w:rPr>
          <w:rFonts w:ascii="Calibri" w:hAnsi="Calibri" w:cs="Calibri"/>
          <w:sz w:val="20"/>
          <w:szCs w:val="20"/>
          <w:lang w:val="en-US"/>
        </w:rPr>
      </w:pPr>
    </w:p>
    <w:sectPr w:rsidR="006D24F6" w:rsidRPr="00CA049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493"/>
    <w:rsid w:val="006D24F6"/>
    <w:rsid w:val="00CA049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AFA913-0A8B-42B5-8EE8-39DC21517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ragraph">
    <w:name w:val="paragraph"/>
    <w:basedOn w:val="Normal"/>
    <w:rsid w:val="00CA0493"/>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customStyle="1" w:styleId="normaltextrun">
    <w:name w:val="normaltextrun"/>
    <w:basedOn w:val="Fuentedeprrafopredeter"/>
    <w:rsid w:val="00CA0493"/>
  </w:style>
  <w:style w:type="character" w:customStyle="1" w:styleId="eop">
    <w:name w:val="eop"/>
    <w:basedOn w:val="Fuentedeprrafopredeter"/>
    <w:rsid w:val="00CA0493"/>
  </w:style>
  <w:style w:type="character" w:styleId="Hipervnculo">
    <w:name w:val="Hyperlink"/>
    <w:basedOn w:val="Fuentedeprrafopredeter"/>
    <w:uiPriority w:val="99"/>
    <w:unhideWhenUsed/>
    <w:rsid w:val="00CA04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1393108">
      <w:bodyDiv w:val="1"/>
      <w:marLeft w:val="0"/>
      <w:marRight w:val="0"/>
      <w:marTop w:val="0"/>
      <w:marBottom w:val="0"/>
      <w:divBdr>
        <w:top w:val="none" w:sz="0" w:space="0" w:color="auto"/>
        <w:left w:val="none" w:sz="0" w:space="0" w:color="auto"/>
        <w:bottom w:val="none" w:sz="0" w:space="0" w:color="auto"/>
        <w:right w:val="none" w:sz="0" w:space="0" w:color="auto"/>
      </w:divBdr>
      <w:divsChild>
        <w:div w:id="1267617947">
          <w:marLeft w:val="0"/>
          <w:marRight w:val="0"/>
          <w:marTop w:val="0"/>
          <w:marBottom w:val="0"/>
          <w:divBdr>
            <w:top w:val="none" w:sz="0" w:space="0" w:color="auto"/>
            <w:left w:val="none" w:sz="0" w:space="0" w:color="auto"/>
            <w:bottom w:val="none" w:sz="0" w:space="0" w:color="auto"/>
            <w:right w:val="none" w:sz="0" w:space="0" w:color="auto"/>
          </w:divBdr>
        </w:div>
        <w:div w:id="2067990914">
          <w:marLeft w:val="0"/>
          <w:marRight w:val="0"/>
          <w:marTop w:val="0"/>
          <w:marBottom w:val="0"/>
          <w:divBdr>
            <w:top w:val="none" w:sz="0" w:space="0" w:color="auto"/>
            <w:left w:val="none" w:sz="0" w:space="0" w:color="auto"/>
            <w:bottom w:val="none" w:sz="0" w:space="0" w:color="auto"/>
            <w:right w:val="none" w:sz="0" w:space="0" w:color="auto"/>
          </w:divBdr>
        </w:div>
        <w:div w:id="1413812657">
          <w:marLeft w:val="0"/>
          <w:marRight w:val="0"/>
          <w:marTop w:val="0"/>
          <w:marBottom w:val="0"/>
          <w:divBdr>
            <w:top w:val="none" w:sz="0" w:space="0" w:color="auto"/>
            <w:left w:val="none" w:sz="0" w:space="0" w:color="auto"/>
            <w:bottom w:val="none" w:sz="0" w:space="0" w:color="auto"/>
            <w:right w:val="none" w:sz="0" w:space="0" w:color="auto"/>
          </w:divBdr>
        </w:div>
        <w:div w:id="1190871991">
          <w:marLeft w:val="0"/>
          <w:marRight w:val="0"/>
          <w:marTop w:val="0"/>
          <w:marBottom w:val="0"/>
          <w:divBdr>
            <w:top w:val="none" w:sz="0" w:space="0" w:color="auto"/>
            <w:left w:val="none" w:sz="0" w:space="0" w:color="auto"/>
            <w:bottom w:val="none" w:sz="0" w:space="0" w:color="auto"/>
            <w:right w:val="none" w:sz="0" w:space="0" w:color="auto"/>
          </w:divBdr>
        </w:div>
        <w:div w:id="1579318440">
          <w:marLeft w:val="0"/>
          <w:marRight w:val="0"/>
          <w:marTop w:val="0"/>
          <w:marBottom w:val="0"/>
          <w:divBdr>
            <w:top w:val="none" w:sz="0" w:space="0" w:color="auto"/>
            <w:left w:val="none" w:sz="0" w:space="0" w:color="auto"/>
            <w:bottom w:val="none" w:sz="0" w:space="0" w:color="auto"/>
            <w:right w:val="none" w:sz="0" w:space="0" w:color="auto"/>
          </w:divBdr>
        </w:div>
        <w:div w:id="1782726565">
          <w:marLeft w:val="0"/>
          <w:marRight w:val="0"/>
          <w:marTop w:val="0"/>
          <w:marBottom w:val="0"/>
          <w:divBdr>
            <w:top w:val="none" w:sz="0" w:space="0" w:color="auto"/>
            <w:left w:val="none" w:sz="0" w:space="0" w:color="auto"/>
            <w:bottom w:val="none" w:sz="0" w:space="0" w:color="auto"/>
            <w:right w:val="none" w:sz="0" w:space="0" w:color="auto"/>
          </w:divBdr>
        </w:div>
        <w:div w:id="663045037">
          <w:marLeft w:val="0"/>
          <w:marRight w:val="0"/>
          <w:marTop w:val="0"/>
          <w:marBottom w:val="0"/>
          <w:divBdr>
            <w:top w:val="none" w:sz="0" w:space="0" w:color="auto"/>
            <w:left w:val="none" w:sz="0" w:space="0" w:color="auto"/>
            <w:bottom w:val="none" w:sz="0" w:space="0" w:color="auto"/>
            <w:right w:val="none" w:sz="0" w:space="0" w:color="auto"/>
          </w:divBdr>
        </w:div>
        <w:div w:id="1477142739">
          <w:marLeft w:val="0"/>
          <w:marRight w:val="0"/>
          <w:marTop w:val="0"/>
          <w:marBottom w:val="0"/>
          <w:divBdr>
            <w:top w:val="none" w:sz="0" w:space="0" w:color="auto"/>
            <w:left w:val="none" w:sz="0" w:space="0" w:color="auto"/>
            <w:bottom w:val="none" w:sz="0" w:space="0" w:color="auto"/>
            <w:right w:val="none" w:sz="0" w:space="0" w:color="auto"/>
          </w:divBdr>
        </w:div>
        <w:div w:id="485516331">
          <w:marLeft w:val="0"/>
          <w:marRight w:val="0"/>
          <w:marTop w:val="0"/>
          <w:marBottom w:val="0"/>
          <w:divBdr>
            <w:top w:val="none" w:sz="0" w:space="0" w:color="auto"/>
            <w:left w:val="none" w:sz="0" w:space="0" w:color="auto"/>
            <w:bottom w:val="none" w:sz="0" w:space="0" w:color="auto"/>
            <w:right w:val="none" w:sz="0" w:space="0" w:color="auto"/>
          </w:divBdr>
        </w:div>
        <w:div w:id="1713261700">
          <w:marLeft w:val="0"/>
          <w:marRight w:val="0"/>
          <w:marTop w:val="0"/>
          <w:marBottom w:val="0"/>
          <w:divBdr>
            <w:top w:val="none" w:sz="0" w:space="0" w:color="auto"/>
            <w:left w:val="none" w:sz="0" w:space="0" w:color="auto"/>
            <w:bottom w:val="none" w:sz="0" w:space="0" w:color="auto"/>
            <w:right w:val="none" w:sz="0" w:space="0" w:color="auto"/>
          </w:divBdr>
        </w:div>
        <w:div w:id="340621038">
          <w:marLeft w:val="0"/>
          <w:marRight w:val="0"/>
          <w:marTop w:val="0"/>
          <w:marBottom w:val="0"/>
          <w:divBdr>
            <w:top w:val="none" w:sz="0" w:space="0" w:color="auto"/>
            <w:left w:val="none" w:sz="0" w:space="0" w:color="auto"/>
            <w:bottom w:val="none" w:sz="0" w:space="0" w:color="auto"/>
            <w:right w:val="none" w:sz="0" w:space="0" w:color="auto"/>
          </w:divBdr>
        </w:div>
        <w:div w:id="747463904">
          <w:marLeft w:val="0"/>
          <w:marRight w:val="0"/>
          <w:marTop w:val="0"/>
          <w:marBottom w:val="0"/>
          <w:divBdr>
            <w:top w:val="none" w:sz="0" w:space="0" w:color="auto"/>
            <w:left w:val="none" w:sz="0" w:space="0" w:color="auto"/>
            <w:bottom w:val="none" w:sz="0" w:space="0" w:color="auto"/>
            <w:right w:val="none" w:sz="0" w:space="0" w:color="auto"/>
          </w:divBdr>
        </w:div>
        <w:div w:id="508180665">
          <w:marLeft w:val="0"/>
          <w:marRight w:val="0"/>
          <w:marTop w:val="0"/>
          <w:marBottom w:val="0"/>
          <w:divBdr>
            <w:top w:val="none" w:sz="0" w:space="0" w:color="auto"/>
            <w:left w:val="none" w:sz="0" w:space="0" w:color="auto"/>
            <w:bottom w:val="none" w:sz="0" w:space="0" w:color="auto"/>
            <w:right w:val="none" w:sz="0" w:space="0" w:color="auto"/>
          </w:divBdr>
        </w:div>
        <w:div w:id="439036833">
          <w:marLeft w:val="0"/>
          <w:marRight w:val="0"/>
          <w:marTop w:val="0"/>
          <w:marBottom w:val="0"/>
          <w:divBdr>
            <w:top w:val="none" w:sz="0" w:space="0" w:color="auto"/>
            <w:left w:val="none" w:sz="0" w:space="0" w:color="auto"/>
            <w:bottom w:val="none" w:sz="0" w:space="0" w:color="auto"/>
            <w:right w:val="none" w:sz="0" w:space="0" w:color="auto"/>
          </w:divBdr>
        </w:div>
        <w:div w:id="1550804156">
          <w:marLeft w:val="0"/>
          <w:marRight w:val="0"/>
          <w:marTop w:val="0"/>
          <w:marBottom w:val="0"/>
          <w:divBdr>
            <w:top w:val="none" w:sz="0" w:space="0" w:color="auto"/>
            <w:left w:val="none" w:sz="0" w:space="0" w:color="auto"/>
            <w:bottom w:val="none" w:sz="0" w:space="0" w:color="auto"/>
            <w:right w:val="none" w:sz="0" w:space="0" w:color="auto"/>
          </w:divBdr>
        </w:div>
        <w:div w:id="432748276">
          <w:marLeft w:val="0"/>
          <w:marRight w:val="0"/>
          <w:marTop w:val="0"/>
          <w:marBottom w:val="0"/>
          <w:divBdr>
            <w:top w:val="none" w:sz="0" w:space="0" w:color="auto"/>
            <w:left w:val="none" w:sz="0" w:space="0" w:color="auto"/>
            <w:bottom w:val="none" w:sz="0" w:space="0" w:color="auto"/>
            <w:right w:val="none" w:sz="0" w:space="0" w:color="auto"/>
          </w:divBdr>
        </w:div>
        <w:div w:id="1372878927">
          <w:marLeft w:val="0"/>
          <w:marRight w:val="0"/>
          <w:marTop w:val="0"/>
          <w:marBottom w:val="0"/>
          <w:divBdr>
            <w:top w:val="none" w:sz="0" w:space="0" w:color="auto"/>
            <w:left w:val="none" w:sz="0" w:space="0" w:color="auto"/>
            <w:bottom w:val="none" w:sz="0" w:space="0" w:color="auto"/>
            <w:right w:val="none" w:sz="0" w:space="0" w:color="auto"/>
          </w:divBdr>
        </w:div>
        <w:div w:id="191962367">
          <w:marLeft w:val="0"/>
          <w:marRight w:val="0"/>
          <w:marTop w:val="0"/>
          <w:marBottom w:val="0"/>
          <w:divBdr>
            <w:top w:val="none" w:sz="0" w:space="0" w:color="auto"/>
            <w:left w:val="none" w:sz="0" w:space="0" w:color="auto"/>
            <w:bottom w:val="none" w:sz="0" w:space="0" w:color="auto"/>
            <w:right w:val="none" w:sz="0" w:space="0" w:color="auto"/>
          </w:divBdr>
        </w:div>
        <w:div w:id="1939287057">
          <w:marLeft w:val="0"/>
          <w:marRight w:val="0"/>
          <w:marTop w:val="0"/>
          <w:marBottom w:val="0"/>
          <w:divBdr>
            <w:top w:val="none" w:sz="0" w:space="0" w:color="auto"/>
            <w:left w:val="none" w:sz="0" w:space="0" w:color="auto"/>
            <w:bottom w:val="none" w:sz="0" w:space="0" w:color="auto"/>
            <w:right w:val="none" w:sz="0" w:space="0" w:color="auto"/>
          </w:divBdr>
        </w:div>
        <w:div w:id="323244092">
          <w:marLeft w:val="0"/>
          <w:marRight w:val="0"/>
          <w:marTop w:val="0"/>
          <w:marBottom w:val="0"/>
          <w:divBdr>
            <w:top w:val="none" w:sz="0" w:space="0" w:color="auto"/>
            <w:left w:val="none" w:sz="0" w:space="0" w:color="auto"/>
            <w:bottom w:val="none" w:sz="0" w:space="0" w:color="auto"/>
            <w:right w:val="none" w:sz="0" w:space="0" w:color="auto"/>
          </w:divBdr>
        </w:div>
        <w:div w:id="977032645">
          <w:marLeft w:val="0"/>
          <w:marRight w:val="0"/>
          <w:marTop w:val="0"/>
          <w:marBottom w:val="0"/>
          <w:divBdr>
            <w:top w:val="none" w:sz="0" w:space="0" w:color="auto"/>
            <w:left w:val="none" w:sz="0" w:space="0" w:color="auto"/>
            <w:bottom w:val="none" w:sz="0" w:space="0" w:color="auto"/>
            <w:right w:val="none" w:sz="0" w:space="0" w:color="auto"/>
          </w:divBdr>
        </w:div>
        <w:div w:id="2030796398">
          <w:marLeft w:val="0"/>
          <w:marRight w:val="0"/>
          <w:marTop w:val="0"/>
          <w:marBottom w:val="0"/>
          <w:divBdr>
            <w:top w:val="none" w:sz="0" w:space="0" w:color="auto"/>
            <w:left w:val="none" w:sz="0" w:space="0" w:color="auto"/>
            <w:bottom w:val="none" w:sz="0" w:space="0" w:color="auto"/>
            <w:right w:val="none" w:sz="0" w:space="0" w:color="auto"/>
          </w:divBdr>
        </w:div>
        <w:div w:id="1667247816">
          <w:marLeft w:val="0"/>
          <w:marRight w:val="0"/>
          <w:marTop w:val="0"/>
          <w:marBottom w:val="0"/>
          <w:divBdr>
            <w:top w:val="none" w:sz="0" w:space="0" w:color="auto"/>
            <w:left w:val="none" w:sz="0" w:space="0" w:color="auto"/>
            <w:bottom w:val="none" w:sz="0" w:space="0" w:color="auto"/>
            <w:right w:val="none" w:sz="0" w:space="0" w:color="auto"/>
          </w:divBdr>
        </w:div>
        <w:div w:id="1470703340">
          <w:marLeft w:val="0"/>
          <w:marRight w:val="0"/>
          <w:marTop w:val="0"/>
          <w:marBottom w:val="0"/>
          <w:divBdr>
            <w:top w:val="none" w:sz="0" w:space="0" w:color="auto"/>
            <w:left w:val="none" w:sz="0" w:space="0" w:color="auto"/>
            <w:bottom w:val="none" w:sz="0" w:space="0" w:color="auto"/>
            <w:right w:val="none" w:sz="0" w:space="0" w:color="auto"/>
          </w:divBdr>
        </w:div>
        <w:div w:id="1288199931">
          <w:marLeft w:val="0"/>
          <w:marRight w:val="0"/>
          <w:marTop w:val="0"/>
          <w:marBottom w:val="0"/>
          <w:divBdr>
            <w:top w:val="none" w:sz="0" w:space="0" w:color="auto"/>
            <w:left w:val="none" w:sz="0" w:space="0" w:color="auto"/>
            <w:bottom w:val="none" w:sz="0" w:space="0" w:color="auto"/>
            <w:right w:val="none" w:sz="0" w:space="0" w:color="auto"/>
          </w:divBdr>
        </w:div>
        <w:div w:id="1554006527">
          <w:marLeft w:val="0"/>
          <w:marRight w:val="0"/>
          <w:marTop w:val="0"/>
          <w:marBottom w:val="0"/>
          <w:divBdr>
            <w:top w:val="none" w:sz="0" w:space="0" w:color="auto"/>
            <w:left w:val="none" w:sz="0" w:space="0" w:color="auto"/>
            <w:bottom w:val="none" w:sz="0" w:space="0" w:color="auto"/>
            <w:right w:val="none" w:sz="0" w:space="0" w:color="auto"/>
          </w:divBdr>
        </w:div>
        <w:div w:id="2134710760">
          <w:marLeft w:val="0"/>
          <w:marRight w:val="0"/>
          <w:marTop w:val="0"/>
          <w:marBottom w:val="0"/>
          <w:divBdr>
            <w:top w:val="none" w:sz="0" w:space="0" w:color="auto"/>
            <w:left w:val="none" w:sz="0" w:space="0" w:color="auto"/>
            <w:bottom w:val="none" w:sz="0" w:space="0" w:color="auto"/>
            <w:right w:val="none" w:sz="0" w:space="0" w:color="auto"/>
          </w:divBdr>
        </w:div>
        <w:div w:id="1591305740">
          <w:marLeft w:val="0"/>
          <w:marRight w:val="0"/>
          <w:marTop w:val="0"/>
          <w:marBottom w:val="0"/>
          <w:divBdr>
            <w:top w:val="none" w:sz="0" w:space="0" w:color="auto"/>
            <w:left w:val="none" w:sz="0" w:space="0" w:color="auto"/>
            <w:bottom w:val="none" w:sz="0" w:space="0" w:color="auto"/>
            <w:right w:val="none" w:sz="0" w:space="0" w:color="auto"/>
          </w:divBdr>
        </w:div>
        <w:div w:id="2059889534">
          <w:marLeft w:val="0"/>
          <w:marRight w:val="0"/>
          <w:marTop w:val="0"/>
          <w:marBottom w:val="0"/>
          <w:divBdr>
            <w:top w:val="none" w:sz="0" w:space="0" w:color="auto"/>
            <w:left w:val="none" w:sz="0" w:space="0" w:color="auto"/>
            <w:bottom w:val="none" w:sz="0" w:space="0" w:color="auto"/>
            <w:right w:val="none" w:sz="0" w:space="0" w:color="auto"/>
          </w:divBdr>
        </w:div>
        <w:div w:id="1449812775">
          <w:marLeft w:val="0"/>
          <w:marRight w:val="0"/>
          <w:marTop w:val="0"/>
          <w:marBottom w:val="0"/>
          <w:divBdr>
            <w:top w:val="none" w:sz="0" w:space="0" w:color="auto"/>
            <w:left w:val="none" w:sz="0" w:space="0" w:color="auto"/>
            <w:bottom w:val="none" w:sz="0" w:space="0" w:color="auto"/>
            <w:right w:val="none" w:sz="0" w:space="0" w:color="auto"/>
          </w:divBdr>
        </w:div>
        <w:div w:id="1676031992">
          <w:marLeft w:val="0"/>
          <w:marRight w:val="0"/>
          <w:marTop w:val="0"/>
          <w:marBottom w:val="0"/>
          <w:divBdr>
            <w:top w:val="none" w:sz="0" w:space="0" w:color="auto"/>
            <w:left w:val="none" w:sz="0" w:space="0" w:color="auto"/>
            <w:bottom w:val="none" w:sz="0" w:space="0" w:color="auto"/>
            <w:right w:val="none" w:sz="0" w:space="0" w:color="auto"/>
          </w:divBdr>
        </w:div>
        <w:div w:id="955406209">
          <w:marLeft w:val="0"/>
          <w:marRight w:val="0"/>
          <w:marTop w:val="0"/>
          <w:marBottom w:val="0"/>
          <w:divBdr>
            <w:top w:val="none" w:sz="0" w:space="0" w:color="auto"/>
            <w:left w:val="none" w:sz="0" w:space="0" w:color="auto"/>
            <w:bottom w:val="none" w:sz="0" w:space="0" w:color="auto"/>
            <w:right w:val="none" w:sz="0" w:space="0" w:color="auto"/>
          </w:divBdr>
        </w:div>
        <w:div w:id="526257459">
          <w:marLeft w:val="0"/>
          <w:marRight w:val="0"/>
          <w:marTop w:val="0"/>
          <w:marBottom w:val="0"/>
          <w:divBdr>
            <w:top w:val="none" w:sz="0" w:space="0" w:color="auto"/>
            <w:left w:val="none" w:sz="0" w:space="0" w:color="auto"/>
            <w:bottom w:val="none" w:sz="0" w:space="0" w:color="auto"/>
            <w:right w:val="none" w:sz="0" w:space="0" w:color="auto"/>
          </w:divBdr>
        </w:div>
        <w:div w:id="1573471286">
          <w:marLeft w:val="0"/>
          <w:marRight w:val="0"/>
          <w:marTop w:val="0"/>
          <w:marBottom w:val="0"/>
          <w:divBdr>
            <w:top w:val="none" w:sz="0" w:space="0" w:color="auto"/>
            <w:left w:val="none" w:sz="0" w:space="0" w:color="auto"/>
            <w:bottom w:val="none" w:sz="0" w:space="0" w:color="auto"/>
            <w:right w:val="none" w:sz="0" w:space="0" w:color="auto"/>
          </w:divBdr>
        </w:div>
        <w:div w:id="1824739028">
          <w:marLeft w:val="0"/>
          <w:marRight w:val="0"/>
          <w:marTop w:val="0"/>
          <w:marBottom w:val="0"/>
          <w:divBdr>
            <w:top w:val="none" w:sz="0" w:space="0" w:color="auto"/>
            <w:left w:val="none" w:sz="0" w:space="0" w:color="auto"/>
            <w:bottom w:val="none" w:sz="0" w:space="0" w:color="auto"/>
            <w:right w:val="none" w:sz="0" w:space="0" w:color="auto"/>
          </w:divBdr>
        </w:div>
        <w:div w:id="812864865">
          <w:marLeft w:val="0"/>
          <w:marRight w:val="0"/>
          <w:marTop w:val="0"/>
          <w:marBottom w:val="0"/>
          <w:divBdr>
            <w:top w:val="none" w:sz="0" w:space="0" w:color="auto"/>
            <w:left w:val="none" w:sz="0" w:space="0" w:color="auto"/>
            <w:bottom w:val="none" w:sz="0" w:space="0" w:color="auto"/>
            <w:right w:val="none" w:sz="0" w:space="0" w:color="auto"/>
          </w:divBdr>
        </w:div>
        <w:div w:id="210656874">
          <w:marLeft w:val="0"/>
          <w:marRight w:val="0"/>
          <w:marTop w:val="0"/>
          <w:marBottom w:val="0"/>
          <w:divBdr>
            <w:top w:val="none" w:sz="0" w:space="0" w:color="auto"/>
            <w:left w:val="none" w:sz="0" w:space="0" w:color="auto"/>
            <w:bottom w:val="none" w:sz="0" w:space="0" w:color="auto"/>
            <w:right w:val="none" w:sz="0" w:space="0" w:color="auto"/>
          </w:divBdr>
        </w:div>
        <w:div w:id="488401806">
          <w:marLeft w:val="0"/>
          <w:marRight w:val="0"/>
          <w:marTop w:val="0"/>
          <w:marBottom w:val="0"/>
          <w:divBdr>
            <w:top w:val="none" w:sz="0" w:space="0" w:color="auto"/>
            <w:left w:val="none" w:sz="0" w:space="0" w:color="auto"/>
            <w:bottom w:val="none" w:sz="0" w:space="0" w:color="auto"/>
            <w:right w:val="none" w:sz="0" w:space="0" w:color="auto"/>
          </w:divBdr>
        </w:div>
        <w:div w:id="1114908851">
          <w:marLeft w:val="0"/>
          <w:marRight w:val="0"/>
          <w:marTop w:val="0"/>
          <w:marBottom w:val="0"/>
          <w:divBdr>
            <w:top w:val="none" w:sz="0" w:space="0" w:color="auto"/>
            <w:left w:val="none" w:sz="0" w:space="0" w:color="auto"/>
            <w:bottom w:val="none" w:sz="0" w:space="0" w:color="auto"/>
            <w:right w:val="none" w:sz="0" w:space="0" w:color="auto"/>
          </w:divBdr>
        </w:div>
        <w:div w:id="2079278204">
          <w:marLeft w:val="0"/>
          <w:marRight w:val="0"/>
          <w:marTop w:val="0"/>
          <w:marBottom w:val="0"/>
          <w:divBdr>
            <w:top w:val="none" w:sz="0" w:space="0" w:color="auto"/>
            <w:left w:val="none" w:sz="0" w:space="0" w:color="auto"/>
            <w:bottom w:val="none" w:sz="0" w:space="0" w:color="auto"/>
            <w:right w:val="none" w:sz="0" w:space="0" w:color="auto"/>
          </w:divBdr>
        </w:div>
        <w:div w:id="1742941357">
          <w:marLeft w:val="0"/>
          <w:marRight w:val="0"/>
          <w:marTop w:val="0"/>
          <w:marBottom w:val="0"/>
          <w:divBdr>
            <w:top w:val="none" w:sz="0" w:space="0" w:color="auto"/>
            <w:left w:val="none" w:sz="0" w:space="0" w:color="auto"/>
            <w:bottom w:val="none" w:sz="0" w:space="0" w:color="auto"/>
            <w:right w:val="none" w:sz="0" w:space="0" w:color="auto"/>
          </w:divBdr>
        </w:div>
        <w:div w:id="136532921">
          <w:marLeft w:val="0"/>
          <w:marRight w:val="0"/>
          <w:marTop w:val="0"/>
          <w:marBottom w:val="0"/>
          <w:divBdr>
            <w:top w:val="none" w:sz="0" w:space="0" w:color="auto"/>
            <w:left w:val="none" w:sz="0" w:space="0" w:color="auto"/>
            <w:bottom w:val="none" w:sz="0" w:space="0" w:color="auto"/>
            <w:right w:val="none" w:sz="0" w:space="0" w:color="auto"/>
          </w:divBdr>
        </w:div>
        <w:div w:id="2132242501">
          <w:marLeft w:val="0"/>
          <w:marRight w:val="0"/>
          <w:marTop w:val="0"/>
          <w:marBottom w:val="0"/>
          <w:divBdr>
            <w:top w:val="none" w:sz="0" w:space="0" w:color="auto"/>
            <w:left w:val="none" w:sz="0" w:space="0" w:color="auto"/>
            <w:bottom w:val="none" w:sz="0" w:space="0" w:color="auto"/>
            <w:right w:val="none" w:sz="0" w:space="0" w:color="auto"/>
          </w:divBdr>
        </w:div>
        <w:div w:id="757797746">
          <w:marLeft w:val="0"/>
          <w:marRight w:val="0"/>
          <w:marTop w:val="0"/>
          <w:marBottom w:val="0"/>
          <w:divBdr>
            <w:top w:val="none" w:sz="0" w:space="0" w:color="auto"/>
            <w:left w:val="none" w:sz="0" w:space="0" w:color="auto"/>
            <w:bottom w:val="none" w:sz="0" w:space="0" w:color="auto"/>
            <w:right w:val="none" w:sz="0" w:space="0" w:color="auto"/>
          </w:divBdr>
        </w:div>
        <w:div w:id="2034651370">
          <w:marLeft w:val="0"/>
          <w:marRight w:val="0"/>
          <w:marTop w:val="0"/>
          <w:marBottom w:val="0"/>
          <w:divBdr>
            <w:top w:val="none" w:sz="0" w:space="0" w:color="auto"/>
            <w:left w:val="none" w:sz="0" w:space="0" w:color="auto"/>
            <w:bottom w:val="none" w:sz="0" w:space="0" w:color="auto"/>
            <w:right w:val="none" w:sz="0" w:space="0" w:color="auto"/>
          </w:divBdr>
        </w:div>
        <w:div w:id="1279021747">
          <w:marLeft w:val="0"/>
          <w:marRight w:val="0"/>
          <w:marTop w:val="0"/>
          <w:marBottom w:val="0"/>
          <w:divBdr>
            <w:top w:val="none" w:sz="0" w:space="0" w:color="auto"/>
            <w:left w:val="none" w:sz="0" w:space="0" w:color="auto"/>
            <w:bottom w:val="none" w:sz="0" w:space="0" w:color="auto"/>
            <w:right w:val="none" w:sz="0" w:space="0" w:color="auto"/>
          </w:divBdr>
        </w:div>
        <w:div w:id="1052270425">
          <w:marLeft w:val="0"/>
          <w:marRight w:val="0"/>
          <w:marTop w:val="0"/>
          <w:marBottom w:val="0"/>
          <w:divBdr>
            <w:top w:val="none" w:sz="0" w:space="0" w:color="auto"/>
            <w:left w:val="none" w:sz="0" w:space="0" w:color="auto"/>
            <w:bottom w:val="none" w:sz="0" w:space="0" w:color="auto"/>
            <w:right w:val="none" w:sz="0" w:space="0" w:color="auto"/>
          </w:divBdr>
        </w:div>
        <w:div w:id="104886790">
          <w:marLeft w:val="0"/>
          <w:marRight w:val="0"/>
          <w:marTop w:val="0"/>
          <w:marBottom w:val="0"/>
          <w:divBdr>
            <w:top w:val="none" w:sz="0" w:space="0" w:color="auto"/>
            <w:left w:val="none" w:sz="0" w:space="0" w:color="auto"/>
            <w:bottom w:val="none" w:sz="0" w:space="0" w:color="auto"/>
            <w:right w:val="none" w:sz="0" w:space="0" w:color="auto"/>
          </w:divBdr>
        </w:div>
        <w:div w:id="206841551">
          <w:marLeft w:val="0"/>
          <w:marRight w:val="0"/>
          <w:marTop w:val="0"/>
          <w:marBottom w:val="0"/>
          <w:divBdr>
            <w:top w:val="none" w:sz="0" w:space="0" w:color="auto"/>
            <w:left w:val="none" w:sz="0" w:space="0" w:color="auto"/>
            <w:bottom w:val="none" w:sz="0" w:space="0" w:color="auto"/>
            <w:right w:val="none" w:sz="0" w:space="0" w:color="auto"/>
          </w:divBdr>
        </w:div>
        <w:div w:id="1604604853">
          <w:marLeft w:val="0"/>
          <w:marRight w:val="0"/>
          <w:marTop w:val="0"/>
          <w:marBottom w:val="0"/>
          <w:divBdr>
            <w:top w:val="none" w:sz="0" w:space="0" w:color="auto"/>
            <w:left w:val="none" w:sz="0" w:space="0" w:color="auto"/>
            <w:bottom w:val="none" w:sz="0" w:space="0" w:color="auto"/>
            <w:right w:val="none" w:sz="0" w:space="0" w:color="auto"/>
          </w:divBdr>
        </w:div>
        <w:div w:id="1593970052">
          <w:marLeft w:val="0"/>
          <w:marRight w:val="0"/>
          <w:marTop w:val="0"/>
          <w:marBottom w:val="0"/>
          <w:divBdr>
            <w:top w:val="none" w:sz="0" w:space="0" w:color="auto"/>
            <w:left w:val="none" w:sz="0" w:space="0" w:color="auto"/>
            <w:bottom w:val="none" w:sz="0" w:space="0" w:color="auto"/>
            <w:right w:val="none" w:sz="0" w:space="0" w:color="auto"/>
          </w:divBdr>
        </w:div>
        <w:div w:id="2126651323">
          <w:marLeft w:val="0"/>
          <w:marRight w:val="0"/>
          <w:marTop w:val="0"/>
          <w:marBottom w:val="0"/>
          <w:divBdr>
            <w:top w:val="none" w:sz="0" w:space="0" w:color="auto"/>
            <w:left w:val="none" w:sz="0" w:space="0" w:color="auto"/>
            <w:bottom w:val="none" w:sz="0" w:space="0" w:color="auto"/>
            <w:right w:val="none" w:sz="0" w:space="0" w:color="auto"/>
          </w:divBdr>
        </w:div>
        <w:div w:id="1211571656">
          <w:marLeft w:val="0"/>
          <w:marRight w:val="0"/>
          <w:marTop w:val="0"/>
          <w:marBottom w:val="0"/>
          <w:divBdr>
            <w:top w:val="none" w:sz="0" w:space="0" w:color="auto"/>
            <w:left w:val="none" w:sz="0" w:space="0" w:color="auto"/>
            <w:bottom w:val="none" w:sz="0" w:space="0" w:color="auto"/>
            <w:right w:val="none" w:sz="0" w:space="0" w:color="auto"/>
          </w:divBdr>
        </w:div>
        <w:div w:id="591083426">
          <w:marLeft w:val="0"/>
          <w:marRight w:val="0"/>
          <w:marTop w:val="0"/>
          <w:marBottom w:val="0"/>
          <w:divBdr>
            <w:top w:val="none" w:sz="0" w:space="0" w:color="auto"/>
            <w:left w:val="none" w:sz="0" w:space="0" w:color="auto"/>
            <w:bottom w:val="none" w:sz="0" w:space="0" w:color="auto"/>
            <w:right w:val="none" w:sz="0" w:space="0" w:color="auto"/>
          </w:divBdr>
        </w:div>
        <w:div w:id="1599869083">
          <w:marLeft w:val="0"/>
          <w:marRight w:val="0"/>
          <w:marTop w:val="0"/>
          <w:marBottom w:val="0"/>
          <w:divBdr>
            <w:top w:val="none" w:sz="0" w:space="0" w:color="auto"/>
            <w:left w:val="none" w:sz="0" w:space="0" w:color="auto"/>
            <w:bottom w:val="none" w:sz="0" w:space="0" w:color="auto"/>
            <w:right w:val="none" w:sz="0" w:space="0" w:color="auto"/>
          </w:divBdr>
        </w:div>
        <w:div w:id="215706005">
          <w:marLeft w:val="0"/>
          <w:marRight w:val="0"/>
          <w:marTop w:val="0"/>
          <w:marBottom w:val="0"/>
          <w:divBdr>
            <w:top w:val="none" w:sz="0" w:space="0" w:color="auto"/>
            <w:left w:val="none" w:sz="0" w:space="0" w:color="auto"/>
            <w:bottom w:val="none" w:sz="0" w:space="0" w:color="auto"/>
            <w:right w:val="none" w:sz="0" w:space="0" w:color="auto"/>
          </w:divBdr>
        </w:div>
        <w:div w:id="530339233">
          <w:marLeft w:val="0"/>
          <w:marRight w:val="0"/>
          <w:marTop w:val="0"/>
          <w:marBottom w:val="0"/>
          <w:divBdr>
            <w:top w:val="none" w:sz="0" w:space="0" w:color="auto"/>
            <w:left w:val="none" w:sz="0" w:space="0" w:color="auto"/>
            <w:bottom w:val="none" w:sz="0" w:space="0" w:color="auto"/>
            <w:right w:val="none" w:sz="0" w:space="0" w:color="auto"/>
          </w:divBdr>
        </w:div>
        <w:div w:id="523829491">
          <w:marLeft w:val="0"/>
          <w:marRight w:val="0"/>
          <w:marTop w:val="0"/>
          <w:marBottom w:val="0"/>
          <w:divBdr>
            <w:top w:val="none" w:sz="0" w:space="0" w:color="auto"/>
            <w:left w:val="none" w:sz="0" w:space="0" w:color="auto"/>
            <w:bottom w:val="none" w:sz="0" w:space="0" w:color="auto"/>
            <w:right w:val="none" w:sz="0" w:space="0" w:color="auto"/>
          </w:divBdr>
        </w:div>
        <w:div w:id="1764296727">
          <w:marLeft w:val="0"/>
          <w:marRight w:val="0"/>
          <w:marTop w:val="0"/>
          <w:marBottom w:val="0"/>
          <w:divBdr>
            <w:top w:val="none" w:sz="0" w:space="0" w:color="auto"/>
            <w:left w:val="none" w:sz="0" w:space="0" w:color="auto"/>
            <w:bottom w:val="none" w:sz="0" w:space="0" w:color="auto"/>
            <w:right w:val="none" w:sz="0" w:space="0" w:color="auto"/>
          </w:divBdr>
        </w:div>
        <w:div w:id="1605386328">
          <w:marLeft w:val="0"/>
          <w:marRight w:val="0"/>
          <w:marTop w:val="0"/>
          <w:marBottom w:val="0"/>
          <w:divBdr>
            <w:top w:val="none" w:sz="0" w:space="0" w:color="auto"/>
            <w:left w:val="none" w:sz="0" w:space="0" w:color="auto"/>
            <w:bottom w:val="none" w:sz="0" w:space="0" w:color="auto"/>
            <w:right w:val="none" w:sz="0" w:space="0" w:color="auto"/>
          </w:divBdr>
        </w:div>
        <w:div w:id="208274052">
          <w:marLeft w:val="0"/>
          <w:marRight w:val="0"/>
          <w:marTop w:val="0"/>
          <w:marBottom w:val="0"/>
          <w:divBdr>
            <w:top w:val="none" w:sz="0" w:space="0" w:color="auto"/>
            <w:left w:val="none" w:sz="0" w:space="0" w:color="auto"/>
            <w:bottom w:val="none" w:sz="0" w:space="0" w:color="auto"/>
            <w:right w:val="none" w:sz="0" w:space="0" w:color="auto"/>
          </w:divBdr>
        </w:div>
        <w:div w:id="2128772791">
          <w:marLeft w:val="0"/>
          <w:marRight w:val="0"/>
          <w:marTop w:val="0"/>
          <w:marBottom w:val="0"/>
          <w:divBdr>
            <w:top w:val="none" w:sz="0" w:space="0" w:color="auto"/>
            <w:left w:val="none" w:sz="0" w:space="0" w:color="auto"/>
            <w:bottom w:val="none" w:sz="0" w:space="0" w:color="auto"/>
            <w:right w:val="none" w:sz="0" w:space="0" w:color="auto"/>
          </w:divBdr>
        </w:div>
        <w:div w:id="1479613892">
          <w:marLeft w:val="0"/>
          <w:marRight w:val="0"/>
          <w:marTop w:val="0"/>
          <w:marBottom w:val="0"/>
          <w:divBdr>
            <w:top w:val="none" w:sz="0" w:space="0" w:color="auto"/>
            <w:left w:val="none" w:sz="0" w:space="0" w:color="auto"/>
            <w:bottom w:val="none" w:sz="0" w:space="0" w:color="auto"/>
            <w:right w:val="none" w:sz="0" w:space="0" w:color="auto"/>
          </w:divBdr>
        </w:div>
        <w:div w:id="2093429781">
          <w:marLeft w:val="0"/>
          <w:marRight w:val="0"/>
          <w:marTop w:val="0"/>
          <w:marBottom w:val="0"/>
          <w:divBdr>
            <w:top w:val="none" w:sz="0" w:space="0" w:color="auto"/>
            <w:left w:val="none" w:sz="0" w:space="0" w:color="auto"/>
            <w:bottom w:val="none" w:sz="0" w:space="0" w:color="auto"/>
            <w:right w:val="none" w:sz="0" w:space="0" w:color="auto"/>
          </w:divBdr>
        </w:div>
        <w:div w:id="322855891">
          <w:marLeft w:val="0"/>
          <w:marRight w:val="0"/>
          <w:marTop w:val="0"/>
          <w:marBottom w:val="0"/>
          <w:divBdr>
            <w:top w:val="none" w:sz="0" w:space="0" w:color="auto"/>
            <w:left w:val="none" w:sz="0" w:space="0" w:color="auto"/>
            <w:bottom w:val="none" w:sz="0" w:space="0" w:color="auto"/>
            <w:right w:val="none" w:sz="0" w:space="0" w:color="auto"/>
          </w:divBdr>
        </w:div>
        <w:div w:id="759104115">
          <w:marLeft w:val="0"/>
          <w:marRight w:val="0"/>
          <w:marTop w:val="0"/>
          <w:marBottom w:val="0"/>
          <w:divBdr>
            <w:top w:val="none" w:sz="0" w:space="0" w:color="auto"/>
            <w:left w:val="none" w:sz="0" w:space="0" w:color="auto"/>
            <w:bottom w:val="none" w:sz="0" w:space="0" w:color="auto"/>
            <w:right w:val="none" w:sz="0" w:space="0" w:color="auto"/>
          </w:divBdr>
        </w:div>
        <w:div w:id="1812596370">
          <w:marLeft w:val="0"/>
          <w:marRight w:val="0"/>
          <w:marTop w:val="0"/>
          <w:marBottom w:val="0"/>
          <w:divBdr>
            <w:top w:val="none" w:sz="0" w:space="0" w:color="auto"/>
            <w:left w:val="none" w:sz="0" w:space="0" w:color="auto"/>
            <w:bottom w:val="none" w:sz="0" w:space="0" w:color="auto"/>
            <w:right w:val="none" w:sz="0" w:space="0" w:color="auto"/>
          </w:divBdr>
        </w:div>
        <w:div w:id="630401210">
          <w:marLeft w:val="0"/>
          <w:marRight w:val="0"/>
          <w:marTop w:val="0"/>
          <w:marBottom w:val="0"/>
          <w:divBdr>
            <w:top w:val="none" w:sz="0" w:space="0" w:color="auto"/>
            <w:left w:val="none" w:sz="0" w:space="0" w:color="auto"/>
            <w:bottom w:val="none" w:sz="0" w:space="0" w:color="auto"/>
            <w:right w:val="none" w:sz="0" w:space="0" w:color="auto"/>
          </w:divBdr>
        </w:div>
        <w:div w:id="144589214">
          <w:marLeft w:val="0"/>
          <w:marRight w:val="0"/>
          <w:marTop w:val="0"/>
          <w:marBottom w:val="0"/>
          <w:divBdr>
            <w:top w:val="none" w:sz="0" w:space="0" w:color="auto"/>
            <w:left w:val="none" w:sz="0" w:space="0" w:color="auto"/>
            <w:bottom w:val="none" w:sz="0" w:space="0" w:color="auto"/>
            <w:right w:val="none" w:sz="0" w:space="0" w:color="auto"/>
          </w:divBdr>
        </w:div>
        <w:div w:id="1983582970">
          <w:marLeft w:val="0"/>
          <w:marRight w:val="0"/>
          <w:marTop w:val="0"/>
          <w:marBottom w:val="0"/>
          <w:divBdr>
            <w:top w:val="none" w:sz="0" w:space="0" w:color="auto"/>
            <w:left w:val="none" w:sz="0" w:space="0" w:color="auto"/>
            <w:bottom w:val="none" w:sz="0" w:space="0" w:color="auto"/>
            <w:right w:val="none" w:sz="0" w:space="0" w:color="auto"/>
          </w:divBdr>
        </w:div>
        <w:div w:id="142897170">
          <w:marLeft w:val="0"/>
          <w:marRight w:val="0"/>
          <w:marTop w:val="0"/>
          <w:marBottom w:val="0"/>
          <w:divBdr>
            <w:top w:val="none" w:sz="0" w:space="0" w:color="auto"/>
            <w:left w:val="none" w:sz="0" w:space="0" w:color="auto"/>
            <w:bottom w:val="none" w:sz="0" w:space="0" w:color="auto"/>
            <w:right w:val="none" w:sz="0" w:space="0" w:color="auto"/>
          </w:divBdr>
        </w:div>
        <w:div w:id="443498861">
          <w:marLeft w:val="0"/>
          <w:marRight w:val="0"/>
          <w:marTop w:val="0"/>
          <w:marBottom w:val="0"/>
          <w:divBdr>
            <w:top w:val="none" w:sz="0" w:space="0" w:color="auto"/>
            <w:left w:val="none" w:sz="0" w:space="0" w:color="auto"/>
            <w:bottom w:val="none" w:sz="0" w:space="0" w:color="auto"/>
            <w:right w:val="none" w:sz="0" w:space="0" w:color="auto"/>
          </w:divBdr>
        </w:div>
        <w:div w:id="423040278">
          <w:marLeft w:val="0"/>
          <w:marRight w:val="0"/>
          <w:marTop w:val="0"/>
          <w:marBottom w:val="0"/>
          <w:divBdr>
            <w:top w:val="none" w:sz="0" w:space="0" w:color="auto"/>
            <w:left w:val="none" w:sz="0" w:space="0" w:color="auto"/>
            <w:bottom w:val="none" w:sz="0" w:space="0" w:color="auto"/>
            <w:right w:val="none" w:sz="0" w:space="0" w:color="auto"/>
          </w:divBdr>
        </w:div>
        <w:div w:id="1998339305">
          <w:marLeft w:val="0"/>
          <w:marRight w:val="0"/>
          <w:marTop w:val="0"/>
          <w:marBottom w:val="0"/>
          <w:divBdr>
            <w:top w:val="none" w:sz="0" w:space="0" w:color="auto"/>
            <w:left w:val="none" w:sz="0" w:space="0" w:color="auto"/>
            <w:bottom w:val="none" w:sz="0" w:space="0" w:color="auto"/>
            <w:right w:val="none" w:sz="0" w:space="0" w:color="auto"/>
          </w:divBdr>
        </w:div>
        <w:div w:id="1085540928">
          <w:marLeft w:val="0"/>
          <w:marRight w:val="0"/>
          <w:marTop w:val="0"/>
          <w:marBottom w:val="0"/>
          <w:divBdr>
            <w:top w:val="none" w:sz="0" w:space="0" w:color="auto"/>
            <w:left w:val="none" w:sz="0" w:space="0" w:color="auto"/>
            <w:bottom w:val="none" w:sz="0" w:space="0" w:color="auto"/>
            <w:right w:val="none" w:sz="0" w:space="0" w:color="auto"/>
          </w:divBdr>
        </w:div>
        <w:div w:id="1428192267">
          <w:marLeft w:val="0"/>
          <w:marRight w:val="0"/>
          <w:marTop w:val="0"/>
          <w:marBottom w:val="0"/>
          <w:divBdr>
            <w:top w:val="none" w:sz="0" w:space="0" w:color="auto"/>
            <w:left w:val="none" w:sz="0" w:space="0" w:color="auto"/>
            <w:bottom w:val="none" w:sz="0" w:space="0" w:color="auto"/>
            <w:right w:val="none" w:sz="0" w:space="0" w:color="auto"/>
          </w:divBdr>
        </w:div>
        <w:div w:id="1660572788">
          <w:marLeft w:val="0"/>
          <w:marRight w:val="0"/>
          <w:marTop w:val="0"/>
          <w:marBottom w:val="0"/>
          <w:divBdr>
            <w:top w:val="none" w:sz="0" w:space="0" w:color="auto"/>
            <w:left w:val="none" w:sz="0" w:space="0" w:color="auto"/>
            <w:bottom w:val="none" w:sz="0" w:space="0" w:color="auto"/>
            <w:right w:val="none" w:sz="0" w:space="0" w:color="auto"/>
          </w:divBdr>
        </w:div>
        <w:div w:id="212812558">
          <w:marLeft w:val="0"/>
          <w:marRight w:val="0"/>
          <w:marTop w:val="0"/>
          <w:marBottom w:val="0"/>
          <w:divBdr>
            <w:top w:val="none" w:sz="0" w:space="0" w:color="auto"/>
            <w:left w:val="none" w:sz="0" w:space="0" w:color="auto"/>
            <w:bottom w:val="none" w:sz="0" w:space="0" w:color="auto"/>
            <w:right w:val="none" w:sz="0" w:space="0" w:color="auto"/>
          </w:divBdr>
        </w:div>
        <w:div w:id="367336431">
          <w:marLeft w:val="0"/>
          <w:marRight w:val="0"/>
          <w:marTop w:val="0"/>
          <w:marBottom w:val="0"/>
          <w:divBdr>
            <w:top w:val="none" w:sz="0" w:space="0" w:color="auto"/>
            <w:left w:val="none" w:sz="0" w:space="0" w:color="auto"/>
            <w:bottom w:val="none" w:sz="0" w:space="0" w:color="auto"/>
            <w:right w:val="none" w:sz="0" w:space="0" w:color="auto"/>
          </w:divBdr>
        </w:div>
        <w:div w:id="785542470">
          <w:marLeft w:val="0"/>
          <w:marRight w:val="0"/>
          <w:marTop w:val="0"/>
          <w:marBottom w:val="0"/>
          <w:divBdr>
            <w:top w:val="none" w:sz="0" w:space="0" w:color="auto"/>
            <w:left w:val="none" w:sz="0" w:space="0" w:color="auto"/>
            <w:bottom w:val="none" w:sz="0" w:space="0" w:color="auto"/>
            <w:right w:val="none" w:sz="0" w:space="0" w:color="auto"/>
          </w:divBdr>
        </w:div>
        <w:div w:id="1018503365">
          <w:marLeft w:val="0"/>
          <w:marRight w:val="0"/>
          <w:marTop w:val="0"/>
          <w:marBottom w:val="0"/>
          <w:divBdr>
            <w:top w:val="none" w:sz="0" w:space="0" w:color="auto"/>
            <w:left w:val="none" w:sz="0" w:space="0" w:color="auto"/>
            <w:bottom w:val="none" w:sz="0" w:space="0" w:color="auto"/>
            <w:right w:val="none" w:sz="0" w:space="0" w:color="auto"/>
          </w:divBdr>
        </w:div>
        <w:div w:id="800733941">
          <w:marLeft w:val="0"/>
          <w:marRight w:val="0"/>
          <w:marTop w:val="0"/>
          <w:marBottom w:val="0"/>
          <w:divBdr>
            <w:top w:val="none" w:sz="0" w:space="0" w:color="auto"/>
            <w:left w:val="none" w:sz="0" w:space="0" w:color="auto"/>
            <w:bottom w:val="none" w:sz="0" w:space="0" w:color="auto"/>
            <w:right w:val="none" w:sz="0" w:space="0" w:color="auto"/>
          </w:divBdr>
        </w:div>
        <w:div w:id="1615478093">
          <w:marLeft w:val="0"/>
          <w:marRight w:val="0"/>
          <w:marTop w:val="0"/>
          <w:marBottom w:val="0"/>
          <w:divBdr>
            <w:top w:val="none" w:sz="0" w:space="0" w:color="auto"/>
            <w:left w:val="none" w:sz="0" w:space="0" w:color="auto"/>
            <w:bottom w:val="none" w:sz="0" w:space="0" w:color="auto"/>
            <w:right w:val="none" w:sz="0" w:space="0" w:color="auto"/>
          </w:divBdr>
        </w:div>
        <w:div w:id="1563978761">
          <w:marLeft w:val="0"/>
          <w:marRight w:val="0"/>
          <w:marTop w:val="0"/>
          <w:marBottom w:val="0"/>
          <w:divBdr>
            <w:top w:val="none" w:sz="0" w:space="0" w:color="auto"/>
            <w:left w:val="none" w:sz="0" w:space="0" w:color="auto"/>
            <w:bottom w:val="none" w:sz="0" w:space="0" w:color="auto"/>
            <w:right w:val="none" w:sz="0" w:space="0" w:color="auto"/>
          </w:divBdr>
        </w:div>
        <w:div w:id="1140466253">
          <w:marLeft w:val="0"/>
          <w:marRight w:val="0"/>
          <w:marTop w:val="0"/>
          <w:marBottom w:val="0"/>
          <w:divBdr>
            <w:top w:val="none" w:sz="0" w:space="0" w:color="auto"/>
            <w:left w:val="none" w:sz="0" w:space="0" w:color="auto"/>
            <w:bottom w:val="none" w:sz="0" w:space="0" w:color="auto"/>
            <w:right w:val="none" w:sz="0" w:space="0" w:color="auto"/>
          </w:divBdr>
        </w:div>
        <w:div w:id="109513591">
          <w:marLeft w:val="0"/>
          <w:marRight w:val="0"/>
          <w:marTop w:val="0"/>
          <w:marBottom w:val="0"/>
          <w:divBdr>
            <w:top w:val="none" w:sz="0" w:space="0" w:color="auto"/>
            <w:left w:val="none" w:sz="0" w:space="0" w:color="auto"/>
            <w:bottom w:val="none" w:sz="0" w:space="0" w:color="auto"/>
            <w:right w:val="none" w:sz="0" w:space="0" w:color="auto"/>
          </w:divBdr>
        </w:div>
        <w:div w:id="1718431955">
          <w:marLeft w:val="0"/>
          <w:marRight w:val="0"/>
          <w:marTop w:val="0"/>
          <w:marBottom w:val="0"/>
          <w:divBdr>
            <w:top w:val="none" w:sz="0" w:space="0" w:color="auto"/>
            <w:left w:val="none" w:sz="0" w:space="0" w:color="auto"/>
            <w:bottom w:val="none" w:sz="0" w:space="0" w:color="auto"/>
            <w:right w:val="none" w:sz="0" w:space="0" w:color="auto"/>
          </w:divBdr>
        </w:div>
        <w:div w:id="739406758">
          <w:marLeft w:val="0"/>
          <w:marRight w:val="0"/>
          <w:marTop w:val="0"/>
          <w:marBottom w:val="0"/>
          <w:divBdr>
            <w:top w:val="none" w:sz="0" w:space="0" w:color="auto"/>
            <w:left w:val="none" w:sz="0" w:space="0" w:color="auto"/>
            <w:bottom w:val="none" w:sz="0" w:space="0" w:color="auto"/>
            <w:right w:val="none" w:sz="0" w:space="0" w:color="auto"/>
          </w:divBdr>
        </w:div>
        <w:div w:id="1365786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l@un.or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nam02.safelinks.protection.outlook.com/?url=https%3A%2F%2Fwww.abs.gov.au%2Fstatistics%2Fclassifications%2Faustralian-and-new-zealand-standard-industrial-classification-anzsic%2F2006-revision-2-0%2Fnature-and-objectives-classification%23industry-homogeneity&amp;data=05%7C02%7Csrmelladot%40ine.gob.cl%7Cabb1aa32fa5b40106a4708deb7545120%7C5baaaa0a1f94469bbbb9d1645dad5ac5%7C0%7C0%7C639149770407786572%7CUnknown%7CTWFpbGZsb3d8eyJFbXB0eU1hcGkiOnRydWUsIlYiOiIwLjAuMDAwMCIsIlAiOiJXaW4zMiIsIkFOIjoiTWFpbCIsIldUIjoyfQ%3D%3D%7C0%7C%7C%7C&amp;sdata=O7IEkTQDvm9weguQcpx9QMJIjGczdM%2FFc%2F3tuPL1xsI%3D&amp;reserved=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am02.safelinks.protection.outlook.com/?url=https%3A%2F%2Fwww150.statcan.gc.ca%2Fn1%2Fen%2Fpub%2F61f0041m%2F61f0041m1997001-eng.pdf%3Fst%3Dv8QB3t9o&amp;data=05%7C02%7Csrmelladot%40ine.gob.cl%7Cabb1aa32fa5b40106a4708deb7545120%7C5baaaa0a1f94469bbbb9d1645dad5ac5%7C0%7C0%7C639149770407774485%7CUnknown%7CTWFpbGZsb3d8eyJFbXB0eU1hcGkiOnRydWUsIlYiOiIwLjAuMDAwMCIsIlAiOiJXaW4zMiIsIkFOIjoiTWFpbCIsIldUIjoyfQ%3D%3D%7C0%7C%7C%7C&amp;sdata=APdmias6g2p0dozzEODaeSlw8u5WIGZXH2PuIZ8kLQc%3D&amp;reserved=0" TargetMode="External"/><Relationship Id="rId11" Type="http://schemas.openxmlformats.org/officeDocument/2006/relationships/hyperlink" Target="https://nam02.safelinks.protection.outlook.com/?url=https%3A%2F%2Fwww.abs.gov.au%2Fstatistics%2Fclassifications%2Faustralian-and-new-zealand-standard-industrial-classification-anzsic%2F2006-revision-2-0%2Fnature-and-objectives-classification%23industry-homogeneity&amp;data=05%7C02%7Csrmelladot%40ine.gob.cl%7Cabb1aa32fa5b40106a4708deb7545120%7C5baaaa0a1f94469bbbb9d1645dad5ac5%7C0%7C0%7C639149770407786572%7CUnknown%7CTWFpbGZsb3d8eyJFbXB0eU1hcGkiOnRydWUsIlYiOiIwLjAuMDAwMCIsIlAiOiJXaW4zMiIsIkFOIjoiTWFpbCIsIldUIjoyfQ%3D%3D%7C0%7C%7C%7C&amp;sdata=O7IEkTQDvm9weguQcpx9QMJIjGczdM%2FFc%2F3tuPL1xsI%3D&amp;reserved=0" TargetMode="External"/><Relationship Id="rId5" Type="http://schemas.openxmlformats.org/officeDocument/2006/relationships/hyperlink" Target="https://nam02.safelinks.protection.outlook.com/?url=https%3A%2F%2Funstats.un.org%2Funsd%2Fclassifications%2FEcon%2FDownload%2FIn%2520Text%2FIsic31_English.pdf&amp;data=05%7C02%7Csrmelladot%40ine.gob.cl%7Cabb1aa32fa5b40106a4708deb7545120%7C5baaaa0a1f94469bbbb9d1645dad5ac5%7C0%7C0%7C639149770407749495%7CUnknown%7CTWFpbGZsb3d8eyJFbXB0eU1hcGkiOnRydWUsIlYiOiIwLjAuMDAwMCIsIlAiOiJXaW4zMiIsIkFOIjoiTWFpbCIsIldUIjoyfQ%3D%3D%7C0%7C%7C%7C&amp;sdata=nZxO6gOluqCQrvF5XJZ3gH1jm8nezWVz0guPngaIc4E%3D&amp;reserved=0" TargetMode="External"/><Relationship Id="rId10" Type="http://schemas.openxmlformats.org/officeDocument/2006/relationships/hyperlink" Target="https://nam02.safelinks.protection.outlook.com/?url=https%3A%2F%2Fwww150.statcan.gc.ca%2Fn1%2Fen%2Fpub%2F61f0041m%2F61f0041m1997001-eng.pdf%3Fst%3Dv8QB3t9o&amp;data=05%7C02%7Csrmelladot%40ine.gob.cl%7Cabb1aa32fa5b40106a4708deb7545120%7C5baaaa0a1f94469bbbb9d1645dad5ac5%7C0%7C0%7C639149770407774485%7CUnknown%7CTWFpbGZsb3d8eyJFbXB0eU1hcGkiOnRydWUsIlYiOiIwLjAuMDAwMCIsIlAiOiJXaW4zMiIsIkFOIjoiTWFpbCIsIldUIjoyfQ%3D%3D%7C0%7C%7C%7C&amp;sdata=APdmias6g2p0dozzEODaeSlw8u5WIGZXH2PuIZ8kLQc%3D&amp;reserved=0" TargetMode="External"/><Relationship Id="rId4" Type="http://schemas.openxmlformats.org/officeDocument/2006/relationships/hyperlink" Target="mailto:chl@un.org" TargetMode="External"/><Relationship Id="rId9" Type="http://schemas.openxmlformats.org/officeDocument/2006/relationships/hyperlink" Target="https://nam02.safelinks.protection.outlook.com/?url=https%3A%2F%2Funstats.un.org%2Funsd%2Fclassifications%2FEcon%2FDownload%2FIn%2520Text%2FIsic31_English.pdf&amp;data=05%7C02%7Csrmelladot%40ine.gob.cl%7Cabb1aa32fa5b40106a4708deb7545120%7C5baaaa0a1f94469bbbb9d1645dad5ac5%7C0%7C0%7C639149770407749495%7CUnknown%7CTWFpbGZsb3d8eyJFbXB0eU1hcGkiOnRydWUsIlYiOiIwLjAuMDAwMCIsIlAiOiJXaW4zMiIsIkFOIjoiTWFpbCIsIldUIjoyfQ%3D%3D%7C0%7C%7C%7C&amp;sdata=nZxO6gOluqCQrvF5XJZ3gH1jm8nezWVz0guPngaIc4E%3D&amp;reserved=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2904</Words>
  <Characters>15978</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Silva Leon</dc:creator>
  <cp:keywords/>
  <dc:description/>
  <cp:lastModifiedBy>Paulina Silva Leon</cp:lastModifiedBy>
  <cp:revision>1</cp:revision>
  <dcterms:created xsi:type="dcterms:W3CDTF">2026-09-02T20:15:00Z</dcterms:created>
  <dcterms:modified xsi:type="dcterms:W3CDTF">2026-09-02T20:25:00Z</dcterms:modified>
</cp:coreProperties>
</file>